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69" w:rsidRDefault="00CF5B69" w:rsidP="00CF5B69">
      <w:pPr>
        <w:spacing w:line="500" w:lineRule="exact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CF5B69" w:rsidRDefault="00CF5B69" w:rsidP="00CF5B69">
      <w:pPr>
        <w:spacing w:line="500" w:lineRule="exact"/>
        <w:ind w:firstLineChars="0" w:firstLine="0"/>
        <w:jc w:val="left"/>
        <w:rPr>
          <w:rFonts w:ascii="黑体" w:eastAsia="黑体" w:hAnsi="黑体" w:hint="eastAsia"/>
        </w:rPr>
      </w:pPr>
    </w:p>
    <w:p w:rsidR="00CF5B69" w:rsidRPr="009763B8" w:rsidRDefault="00CF5B69" w:rsidP="00CF5B69">
      <w:pPr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9763B8"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首届工程建设行业数字化创新应用大赛结果</w:t>
      </w:r>
    </w:p>
    <w:p w:rsidR="00CF5B69" w:rsidRDefault="00CF5B69" w:rsidP="00CF5B69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一等成果（3项）</w:t>
      </w:r>
    </w:p>
    <w:tbl>
      <w:tblPr>
        <w:tblW w:w="10243" w:type="dxa"/>
        <w:jc w:val="center"/>
        <w:tblLayout w:type="fixed"/>
        <w:tblLook w:val="0000" w:firstRow="0" w:lastRow="0" w:firstColumn="0" w:lastColumn="0" w:noHBand="0" w:noVBand="0"/>
      </w:tblPr>
      <w:tblGrid>
        <w:gridCol w:w="941"/>
        <w:gridCol w:w="3724"/>
        <w:gridCol w:w="4438"/>
        <w:gridCol w:w="1140"/>
      </w:tblGrid>
      <w:tr w:rsidR="00CF5B69" w:rsidTr="002A7CA2">
        <w:trPr>
          <w:trHeight w:val="70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号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rightChars="188" w:right="602"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参赛单位（团队）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组别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智慧场景时空数据可视化解决方案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陕西思地三维</w:t>
            </w:r>
            <w:proofErr w:type="gramEnd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面向数字孪生的国产自主三维图形平台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上海秉匠信息科技有限公司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新型智能网联矿山无人驾驶整体解决方案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北京路凯智行科技有限公司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成长组</w:t>
            </w:r>
            <w:proofErr w:type="gramEnd"/>
          </w:p>
        </w:tc>
      </w:tr>
    </w:tbl>
    <w:p w:rsidR="00CF5B69" w:rsidRDefault="00CF5B69" w:rsidP="00CF5B69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二等成果（6项）</w:t>
      </w:r>
    </w:p>
    <w:tbl>
      <w:tblPr>
        <w:tblW w:w="10240" w:type="dxa"/>
        <w:jc w:val="center"/>
        <w:tblLayout w:type="fixed"/>
        <w:tblLook w:val="0000" w:firstRow="0" w:lastRow="0" w:firstColumn="0" w:lastColumn="0" w:noHBand="0" w:noVBand="0"/>
      </w:tblPr>
      <w:tblGrid>
        <w:gridCol w:w="914"/>
        <w:gridCol w:w="3742"/>
        <w:gridCol w:w="4435"/>
        <w:gridCol w:w="1149"/>
      </w:tblGrid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组别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地产行业投资决策系统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芥子数据（广州）有限公司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rightChars="-68" w:right="-218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桥梁索力监测雷达研发及应用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中铁大桥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Twinverse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：打造全场景、全要素，全生命周期的空间孪生内容创作以及运营开发平台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上海孪数科技有限公司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高速铁路接触网施工系列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智能化装备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中铁建电气化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第三工程有限公司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中国铁建电气化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中船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重工海为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郑州高科技有限公司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工程建设应用软件开发</w:t>
            </w:r>
            <w:r>
              <w:rPr>
                <w:rFonts w:ascii="Times New Roman" w:hAnsi="Times New Roman"/>
              </w:rPr>
              <w:t>——</w:t>
            </w: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无缝对接Revit（完全自主研发的国产中台软件）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福建省晨曦信息科技股份有限公司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CF5B69" w:rsidTr="002A7CA2">
        <w:trPr>
          <w:trHeight w:val="70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从无人机到基建工程数字化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中科图新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（苏州）科技有限公司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CF5B69" w:rsidRDefault="00CF5B69" w:rsidP="00CF5B69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lastRenderedPageBreak/>
        <w:t>三等成果（9项）</w:t>
      </w:r>
    </w:p>
    <w:tbl>
      <w:tblPr>
        <w:tblW w:w="10322" w:type="dxa"/>
        <w:jc w:val="center"/>
        <w:tblLayout w:type="fixed"/>
        <w:tblLook w:val="0000" w:firstRow="0" w:lastRow="0" w:firstColumn="0" w:lastColumn="0" w:noHBand="0" w:noVBand="0"/>
      </w:tblPr>
      <w:tblGrid>
        <w:gridCol w:w="908"/>
        <w:gridCol w:w="3998"/>
        <w:gridCol w:w="4215"/>
        <w:gridCol w:w="1201"/>
      </w:tblGrid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组别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spacing w:val="-11"/>
                <w:kern w:val="0"/>
                <w:sz w:val="28"/>
                <w:szCs w:val="28"/>
                <w:lang w:bidi="ar"/>
              </w:rPr>
              <w:t>智电科技</w:t>
            </w:r>
            <w:proofErr w:type="gramEnd"/>
            <w:r>
              <w:rPr>
                <w:rFonts w:ascii="Times New Roman" w:hAnsi="Times New Roman"/>
                <w:spacing w:val="-11"/>
              </w:rPr>
              <w:t>——</w:t>
            </w:r>
            <w:r>
              <w:rPr>
                <w:rFonts w:hAnsi="等线" w:cs="仿宋_GB2312" w:hint="eastAsia"/>
                <w:color w:val="000000"/>
                <w:spacing w:val="-11"/>
                <w:kern w:val="0"/>
                <w:sz w:val="28"/>
                <w:szCs w:val="28"/>
                <w:lang w:bidi="ar"/>
              </w:rPr>
              <w:t>标准化数字变电站引领者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国家电网西安供电公司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工程文档智能专家系统</w:t>
            </w: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MSJEngMaster</w:t>
            </w:r>
            <w:proofErr w:type="spell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上海梦神机数字科技有限公司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基于财务平衡视角的城市更新改造数字化平台构建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中国电建集团昆明勘测设计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研究院有限公司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一见AR·建筑平台</w:t>
            </w:r>
            <w:r>
              <w:rPr>
                <w:rFonts w:ascii="Times New Roman" w:hAnsi="Times New Roman"/>
                <w:spacing w:val="-6"/>
              </w:rPr>
              <w:t>——</w:t>
            </w:r>
            <w:r>
              <w:rPr>
                <w:rFonts w:hAnsi="等线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为建筑全生命周期提供可视化管理平台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以见科技（上海）有限公司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成塔基建BIM平台“全真数字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地球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成塔智建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基于国家重大基础设施的智能化安全监测和超前预警系统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spacing w:val="-11"/>
                <w:kern w:val="0"/>
                <w:sz w:val="28"/>
                <w:szCs w:val="28"/>
                <w:lang w:bidi="ar"/>
              </w:rPr>
              <w:t>中科智绘地音（苏州）科技有限公司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德能森无线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无源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建筑智控系统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德能森智能</w:t>
            </w:r>
            <w:proofErr w:type="gramEnd"/>
            <w:r>
              <w:rPr>
                <w:rFonts w:hAnsi="等线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科技（成都）有限公司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建筑数据集成平台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毕埃慕(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上海)建筑数据技术股份有限公司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CF5B69" w:rsidTr="002A7CA2">
        <w:trPr>
          <w:trHeight w:val="70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点云扫描机器人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中建科技集团有限公司智能建造研究中心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CF5B69" w:rsidRDefault="00CF5B69" w:rsidP="00CF5B69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优秀成果（9项）</w:t>
      </w:r>
    </w:p>
    <w:tbl>
      <w:tblPr>
        <w:tblW w:w="9917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3921"/>
        <w:gridCol w:w="4031"/>
        <w:gridCol w:w="1100"/>
      </w:tblGrid>
      <w:tr w:rsidR="00CF5B69" w:rsidTr="002A7CA2">
        <w:trPr>
          <w:trHeight w:val="702"/>
          <w:tblHeader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组别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strike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以环境领域为起点推动 IOT 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感测与风险评估应用</w:t>
            </w:r>
            <w:r>
              <w:rPr>
                <w:rFonts w:ascii="Times New Roman" w:hAnsi="Times New Roman"/>
              </w:rPr>
              <w:t>——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strike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文化和建筑的环境感测评估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strike/>
                <w:color w:val="FF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知洲数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联（北京）科技有限公司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strike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rightChars="-11" w:right="-35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基于无线传感器网络的塔吊</w:t>
            </w:r>
          </w:p>
          <w:p w:rsidR="00CF5B69" w:rsidRDefault="00CF5B69" w:rsidP="002A7CA2">
            <w:pPr>
              <w:widowControl/>
              <w:spacing w:line="240" w:lineRule="auto"/>
              <w:ind w:rightChars="-11" w:right="-35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安全监测系统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核华辰建设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智慧装配式机电安装工程解决方案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浙江省二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建建设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集团有限公司浙江领特机电科技有限公司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建筑工业化、数字化、智能化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软件</w:t>
            </w:r>
            <w:r>
              <w:rPr>
                <w:rFonts w:ascii="Times New Roman" w:hAnsi="Times New Roman"/>
              </w:rPr>
              <w:t>——</w:t>
            </w: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BIM运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维系统</w:t>
            </w:r>
            <w:proofErr w:type="gramEnd"/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椭圆方程（深圳）信息技术有限公司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“数字孪生”3D轻量化技术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rightChars="-96" w:right="-307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上海葛兰岱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尔网络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智慧地产云平台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茂慧创建筑科技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基于BIM的</w:t>
            </w: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WiMap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重点项目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建设管理平台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山东智汇云建筑信息科技有限公司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装配式BIM深化设计及生产</w:t>
            </w:r>
          </w:p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管理系统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上海红瓦信息科技有限公司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CF5B69" w:rsidTr="002A7CA2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DataMesh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数字孪生平台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rightChars="-96" w:right="-307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北京商询科技有限公司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B69" w:rsidRDefault="00CF5B69" w:rsidP="002A7CA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CF5B69" w:rsidRDefault="00CF5B69" w:rsidP="00CF5B69">
      <w:pPr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:rsidR="00970399" w:rsidRDefault="00970399">
      <w:pPr>
        <w:ind w:firstLine="640"/>
      </w:pPr>
      <w:bookmarkStart w:id="0" w:name="_GoBack"/>
      <w:bookmarkEnd w:id="0"/>
    </w:p>
    <w:sectPr w:rsidR="0097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69"/>
    <w:rsid w:val="00970399"/>
    <w:rsid w:val="00C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B156B-7A7E-475D-8447-752D772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9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CF5B69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rsid w:val="00CF5B69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2021-06-29T06:11:00Z</dcterms:created>
  <dcterms:modified xsi:type="dcterms:W3CDTF">2021-06-29T06:11:00Z</dcterms:modified>
</cp:coreProperties>
</file>