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t>附件10</w:t>
      </w:r>
    </w:p>
    <w:p>
      <w:pPr>
        <w:spacing w:before="240" w:beforeLines="100" w:after="100"/>
        <w:jc w:val="center"/>
        <w:rPr>
          <w:rFonts w:ascii="方正小标宋_GBK" w:hAnsi="Times New Roman" w:eastAsia="方正小标宋_GBK"/>
          <w:color w:val="000000"/>
          <w:sz w:val="40"/>
          <w:szCs w:val="40"/>
        </w:rPr>
      </w:pPr>
      <w:r>
        <w:rPr>
          <w:rFonts w:hint="eastAsia" w:ascii="方正小标宋_GBK" w:hAnsi="Times New Roman" w:eastAsia="方正小标宋_GBK"/>
          <w:color w:val="000000"/>
          <w:sz w:val="40"/>
          <w:szCs w:val="40"/>
        </w:rPr>
        <w:t>公众号竞赛结果名单</w:t>
      </w:r>
    </w:p>
    <w:p>
      <w:pPr>
        <w:rPr>
          <w:rFonts w:ascii="Times New Roman" w:hAnsi="Times New Roman"/>
          <w:color w:val="000000"/>
        </w:rPr>
      </w:pPr>
    </w:p>
    <w:tbl>
      <w:tblPr>
        <w:tblStyle w:val="2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793"/>
        <w:gridCol w:w="1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  <w:szCs w:val="22"/>
                <w:lang w:bidi="ar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中国建筑第二工程局有限公司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中国建筑一局（集团）有限公司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陕西省建筑业协会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中国能源建设集团有限公司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中建三局集团有限公司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中国中铁四局集团有限公司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山西五建集团有限公司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山西省工业设备安装集团有限公司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中国水利水电第八工程局有限公司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中国核工业第二二建设有限公司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中国冶金科工集团有限公司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中交第四航务工程局有限公司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中国电建西北勘测设计研究院有限公司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中国港湾工程有限责任公司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山西一建集团有限公司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云南建投第三建设有限公司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浙江省一建建设集团有限公司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中亿丰建设集团股份有限公司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中国水利水电第十四工程局有限公司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中国一冶集团有限公司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中铁二十四局集团有限公司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中安华力建设集团有限公司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河南五建建设集团有限公司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苏州市金螳螂建筑装饰股份有限公司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甘肃省建设投资（控股）集团有限公司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北京市机械施工集团有限公司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中交四航局第三工程有限公司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上海振华重工（集团）股份有限公司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长江精工钢结构（集团）股份有限公司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威海建设集团股份有限公司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陕西建工控股集团有限公司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中国水利水电第七工程局有限公司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中建三局第一建设工程有限责任公司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山西三建集团有限公司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中交四航局第一工程有限公司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中国有色金属工业第十四冶金建设公司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中青建安建设集团有限公司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浙江中南建设集团有限公司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上海宝冶集团有限公司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中建筑港集团有限公司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中国新兴建设开发有限责任公司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武汉建工（集团）有限公司 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山西八建集团有限公司工会委员会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陕西建筑报社有限公司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河北建工集团有限责任公司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中国电建集团海外投资有限公司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天元建设集团有限公司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中国能源建设集团安徽电力建设第二工程有限公司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武汉市汉阳市政建设集团有限公司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陕西建工第四建设集团有限公司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江苏省建筑工程集团有限公司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中建五局华东建设有限公司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中国航天建设集团有限公司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南通四建集团有限公司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江苏启安建设集团有限公司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北京城建亚泰建设集团有限公司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巨匠建设集团股份有限公司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天保建设集团有限公司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甘肃第一建设集团有限责任公司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甘肃第六建设集团股份有限公司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江苏南通三建集团股份有限公司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中国二十冶集团有限公司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山西四建集团有限公司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安徽国信建设集团有限公司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甘肃一安建设科技集团有限公司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江苏南通六建建设集团有限公司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中国中铁股份有限公司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中交第三航务工程局有限公司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北京建工四建工程建设有限公司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中冶建工集团有限公司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山西二建集团有限公司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中国电建集团山东电力建设工程有限公司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陕西建工第八建设集团有限公司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北京市第五建筑工程集团有限公司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广厦控股集团有限公司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陕西建工第七建设集团有限公司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中国土木工程集团有限公司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启东建筑集团有限公司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陕西建工第二建设集团有限公司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山东德建集团有限公司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邢台路桥建设总公司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中国水利水电第四工程局有限公司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北京市市政一建设工程有限责任公司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中交上海航道局有限公司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广西建工集团第二安装建设有限公司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北京城市建设研究发展促进会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中建海峡建设发展有限公司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腾达建设集团股份有限公司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中国水利水电第五工程局有限公司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陕西建工第十三建设集团有限公司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龙元建设集团股份有限公司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中建市政工程有限公司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中通服咨询设计研究院有限公司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五矿二十三冶建设集团有限公司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中国化学工程集团有限公司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华新建工集团有限公司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南京同力建设集团股份有限公司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江苏省苏中建设集团股份有限公司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浙江中成控股集团有限公司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中建一局集团第二建筑有限公司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南通市达欣工程股份有限公司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2021-09-26T01:53:46Z</dcterms:created>
  <dc:creator>rpj</dc:creator>
  <cp:lastModifiedBy>饶平江</cp:lastModifiedBy>
  <dcterms:modified xsi:type="dcterms:W3CDTF">2021-09-26T01:53:49Z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9BAA9836C89849B3A0BC1FD20D2D0F9E</vt:lpwstr>
  </property>
</Properties>
</file>