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81" w:rsidRPr="00F63701" w:rsidRDefault="00044181" w:rsidP="00044181">
      <w:pPr>
        <w:ind w:firstLineChars="200" w:firstLine="560"/>
        <w:jc w:val="center"/>
        <w:rPr>
          <w:rFonts w:ascii="仿宋_GB2312" w:eastAsia="仿宋_GB2312" w:hAnsi="仿宋" w:cs="仿宋"/>
          <w:kern w:val="0"/>
          <w:sz w:val="28"/>
          <w:szCs w:val="28"/>
        </w:rPr>
      </w:pPr>
    </w:p>
    <w:p w:rsidR="00044181" w:rsidRPr="00F63701" w:rsidRDefault="00044181" w:rsidP="00044181">
      <w:pPr>
        <w:ind w:firstLineChars="200" w:firstLine="560"/>
        <w:jc w:val="center"/>
        <w:rPr>
          <w:rFonts w:ascii="仿宋_GB2312" w:eastAsia="仿宋_GB2312" w:hAnsi="仿宋" w:cs="仿宋"/>
          <w:kern w:val="0"/>
          <w:sz w:val="28"/>
          <w:szCs w:val="28"/>
        </w:rPr>
      </w:pPr>
    </w:p>
    <w:p w:rsidR="00044181" w:rsidRPr="00F63701" w:rsidRDefault="00044181" w:rsidP="00044181">
      <w:pPr>
        <w:ind w:firstLineChars="200" w:firstLine="560"/>
        <w:jc w:val="center"/>
        <w:rPr>
          <w:rFonts w:ascii="仿宋_GB2312" w:eastAsia="仿宋_GB2312" w:hAnsi="仿宋" w:cs="仿宋"/>
          <w:kern w:val="0"/>
          <w:sz w:val="28"/>
          <w:szCs w:val="28"/>
        </w:rPr>
      </w:pPr>
    </w:p>
    <w:p w:rsidR="00044181" w:rsidRPr="00F63701" w:rsidRDefault="00044181" w:rsidP="00044181">
      <w:pPr>
        <w:ind w:firstLineChars="200" w:firstLine="560"/>
        <w:jc w:val="center"/>
        <w:rPr>
          <w:rFonts w:ascii="仿宋_GB2312" w:eastAsia="仿宋_GB2312" w:hAnsi="仿宋" w:cs="仿宋"/>
          <w:kern w:val="0"/>
          <w:sz w:val="28"/>
          <w:szCs w:val="28"/>
        </w:rPr>
      </w:pPr>
    </w:p>
    <w:p w:rsidR="00044181" w:rsidRPr="00AC1890" w:rsidRDefault="00AB454A" w:rsidP="00AC1890">
      <w:pPr>
        <w:ind w:firstLineChars="200" w:firstLine="720"/>
        <w:jc w:val="center"/>
        <w:rPr>
          <w:rFonts w:ascii="方正小标宋简体" w:eastAsia="方正小标宋简体" w:hAnsi="仿宋" w:cs="仿宋"/>
          <w:kern w:val="0"/>
          <w:sz w:val="36"/>
          <w:szCs w:val="36"/>
        </w:rPr>
      </w:pPr>
      <w:r w:rsidRPr="00AC1890">
        <w:rPr>
          <w:rFonts w:ascii="方正小标宋简体" w:eastAsia="方正小标宋简体" w:hAnsi="仿宋" w:cs="仿宋" w:hint="eastAsia"/>
          <w:kern w:val="0"/>
          <w:sz w:val="36"/>
          <w:szCs w:val="36"/>
        </w:rPr>
        <w:t>201</w:t>
      </w:r>
      <w:r w:rsidR="00044181" w:rsidRPr="00AC1890">
        <w:rPr>
          <w:rFonts w:ascii="方正小标宋简体" w:eastAsia="方正小标宋简体" w:hAnsi="仿宋" w:cs="仿宋" w:hint="eastAsia"/>
          <w:kern w:val="0"/>
          <w:sz w:val="36"/>
          <w:szCs w:val="36"/>
        </w:rPr>
        <w:t>5年度</w:t>
      </w:r>
      <w:r w:rsidRPr="00AC1890">
        <w:rPr>
          <w:rFonts w:ascii="方正小标宋简体" w:eastAsia="方正小标宋简体" w:hAnsi="仿宋" w:cs="仿宋" w:hint="eastAsia"/>
          <w:kern w:val="0"/>
          <w:sz w:val="36"/>
          <w:szCs w:val="36"/>
        </w:rPr>
        <w:t>工程建设</w:t>
      </w:r>
      <w:r w:rsidR="00044181" w:rsidRPr="00AC1890">
        <w:rPr>
          <w:rFonts w:ascii="方正小标宋简体" w:eastAsia="方正小标宋简体" w:hAnsi="仿宋" w:cs="仿宋" w:hint="eastAsia"/>
          <w:kern w:val="0"/>
          <w:sz w:val="36"/>
          <w:szCs w:val="36"/>
        </w:rPr>
        <w:t>企</w:t>
      </w:r>
      <w:r w:rsidRPr="00AC1890">
        <w:rPr>
          <w:rFonts w:ascii="方正小标宋简体" w:eastAsia="方正小标宋简体" w:hAnsi="仿宋" w:cs="仿宋" w:hint="eastAsia"/>
          <w:kern w:val="0"/>
          <w:sz w:val="36"/>
          <w:szCs w:val="36"/>
        </w:rPr>
        <w:t>业</w:t>
      </w:r>
      <w:r w:rsidR="00044181" w:rsidRPr="00AC1890">
        <w:rPr>
          <w:rFonts w:ascii="方正小标宋简体" w:eastAsia="方正小标宋简体" w:hAnsi="仿宋" w:cs="仿宋" w:hint="eastAsia"/>
          <w:kern w:val="0"/>
          <w:sz w:val="36"/>
          <w:szCs w:val="36"/>
        </w:rPr>
        <w:t>经营情况</w:t>
      </w:r>
    </w:p>
    <w:p w:rsidR="00363C01" w:rsidRPr="00AC1890" w:rsidRDefault="00044181" w:rsidP="00AC1890">
      <w:pPr>
        <w:ind w:firstLineChars="200" w:firstLine="720"/>
        <w:jc w:val="center"/>
        <w:rPr>
          <w:rFonts w:ascii="方正小标宋简体" w:eastAsia="方正小标宋简体" w:hAnsi="仿宋" w:cs="仿宋"/>
          <w:kern w:val="0"/>
          <w:sz w:val="36"/>
          <w:szCs w:val="36"/>
        </w:rPr>
      </w:pPr>
      <w:r w:rsidRPr="00AC1890">
        <w:rPr>
          <w:rFonts w:ascii="方正小标宋简体" w:eastAsia="方正小标宋简体" w:hAnsi="仿宋" w:cs="仿宋" w:hint="eastAsia"/>
          <w:kern w:val="0"/>
          <w:sz w:val="36"/>
          <w:szCs w:val="36"/>
        </w:rPr>
        <w:t>抽样调查</w:t>
      </w:r>
      <w:r w:rsidR="00AB454A" w:rsidRPr="00AC1890">
        <w:rPr>
          <w:rFonts w:ascii="方正小标宋简体" w:eastAsia="方正小标宋简体" w:hAnsi="仿宋" w:cs="仿宋" w:hint="eastAsia"/>
          <w:kern w:val="0"/>
          <w:sz w:val="36"/>
          <w:szCs w:val="36"/>
        </w:rPr>
        <w:t>报告</w:t>
      </w:r>
    </w:p>
    <w:p w:rsidR="00363C01" w:rsidRPr="00F63701" w:rsidRDefault="00AB454A" w:rsidP="00044181">
      <w:pPr>
        <w:ind w:firstLineChars="200" w:firstLine="560"/>
        <w:rPr>
          <w:rFonts w:ascii="仿宋_GB2312" w:eastAsia="仿宋_GB2312" w:hAnsi="仿宋" w:cs="仿宋"/>
          <w:kern w:val="0"/>
          <w:sz w:val="28"/>
          <w:szCs w:val="28"/>
        </w:rPr>
      </w:pPr>
      <w:r w:rsidRPr="00F63701">
        <w:rPr>
          <w:rFonts w:ascii="仿宋_GB2312" w:eastAsia="仿宋_GB2312" w:hAnsi="仿宋" w:cs="仿宋" w:hint="eastAsia"/>
          <w:kern w:val="0"/>
          <w:sz w:val="28"/>
          <w:szCs w:val="28"/>
        </w:rPr>
        <w:t xml:space="preserve">     </w:t>
      </w:r>
    </w:p>
    <w:p w:rsidR="00044181" w:rsidRPr="00F63701" w:rsidRDefault="00044181" w:rsidP="00044181">
      <w:pPr>
        <w:ind w:firstLineChars="200" w:firstLine="560"/>
        <w:rPr>
          <w:rFonts w:ascii="仿宋_GB2312" w:eastAsia="仿宋_GB2312" w:hAnsi="仿宋" w:cs="仿宋"/>
          <w:kern w:val="0"/>
          <w:sz w:val="28"/>
          <w:szCs w:val="28"/>
        </w:rPr>
      </w:pPr>
    </w:p>
    <w:p w:rsidR="00044181" w:rsidRPr="00F63701" w:rsidRDefault="00044181" w:rsidP="00044181">
      <w:pPr>
        <w:ind w:firstLineChars="200" w:firstLine="560"/>
        <w:rPr>
          <w:rFonts w:ascii="仿宋_GB2312" w:eastAsia="仿宋_GB2312" w:hAnsi="仿宋" w:cs="仿宋"/>
          <w:kern w:val="0"/>
          <w:sz w:val="28"/>
          <w:szCs w:val="28"/>
        </w:rPr>
      </w:pPr>
    </w:p>
    <w:p w:rsidR="00044181" w:rsidRPr="00F63701" w:rsidRDefault="00044181" w:rsidP="00044181">
      <w:pPr>
        <w:ind w:firstLineChars="200" w:firstLine="560"/>
        <w:rPr>
          <w:rFonts w:ascii="仿宋_GB2312" w:eastAsia="仿宋_GB2312" w:hAnsi="仿宋" w:cs="仿宋"/>
          <w:kern w:val="0"/>
          <w:sz w:val="28"/>
          <w:szCs w:val="28"/>
        </w:rPr>
      </w:pPr>
    </w:p>
    <w:p w:rsidR="00044181" w:rsidRPr="00F63701" w:rsidRDefault="00044181" w:rsidP="00044181">
      <w:pPr>
        <w:ind w:firstLineChars="200" w:firstLine="560"/>
        <w:rPr>
          <w:rFonts w:ascii="仿宋_GB2312" w:eastAsia="仿宋_GB2312" w:hAnsi="仿宋" w:cs="仿宋"/>
          <w:kern w:val="0"/>
          <w:sz w:val="28"/>
          <w:szCs w:val="28"/>
        </w:rPr>
      </w:pPr>
    </w:p>
    <w:p w:rsidR="00044181" w:rsidRPr="00F63701" w:rsidRDefault="00044181" w:rsidP="00044181">
      <w:pPr>
        <w:ind w:firstLineChars="200" w:firstLine="560"/>
        <w:rPr>
          <w:rFonts w:ascii="仿宋_GB2312" w:eastAsia="仿宋_GB2312" w:hAnsi="仿宋" w:cs="仿宋"/>
          <w:kern w:val="0"/>
          <w:sz w:val="28"/>
          <w:szCs w:val="28"/>
        </w:rPr>
      </w:pPr>
    </w:p>
    <w:p w:rsidR="00044181" w:rsidRPr="00F63701" w:rsidRDefault="00044181" w:rsidP="00044181">
      <w:pPr>
        <w:ind w:firstLineChars="200" w:firstLine="560"/>
        <w:rPr>
          <w:rFonts w:ascii="仿宋_GB2312" w:eastAsia="仿宋_GB2312" w:hAnsi="仿宋" w:cs="仿宋"/>
          <w:kern w:val="0"/>
          <w:sz w:val="28"/>
          <w:szCs w:val="28"/>
        </w:rPr>
      </w:pPr>
    </w:p>
    <w:p w:rsidR="00044181" w:rsidRPr="00F63701" w:rsidRDefault="00044181" w:rsidP="00044181">
      <w:pPr>
        <w:ind w:firstLineChars="200" w:firstLine="560"/>
        <w:rPr>
          <w:rFonts w:ascii="仿宋_GB2312" w:eastAsia="仿宋_GB2312" w:hAnsi="仿宋" w:cs="仿宋"/>
          <w:kern w:val="0"/>
          <w:sz w:val="28"/>
          <w:szCs w:val="28"/>
        </w:rPr>
      </w:pPr>
    </w:p>
    <w:p w:rsidR="00044181" w:rsidRPr="00F63701" w:rsidRDefault="00044181" w:rsidP="00044181">
      <w:pPr>
        <w:ind w:firstLineChars="200" w:firstLine="560"/>
        <w:rPr>
          <w:rFonts w:ascii="仿宋_GB2312" w:eastAsia="仿宋_GB2312" w:hAnsi="仿宋" w:cs="仿宋"/>
          <w:kern w:val="0"/>
          <w:sz w:val="28"/>
          <w:szCs w:val="28"/>
        </w:rPr>
      </w:pPr>
    </w:p>
    <w:p w:rsidR="00044181" w:rsidRPr="00F63701" w:rsidRDefault="00044181" w:rsidP="00044181">
      <w:pPr>
        <w:ind w:firstLineChars="200" w:firstLine="560"/>
        <w:rPr>
          <w:rFonts w:ascii="仿宋_GB2312" w:eastAsia="仿宋_GB2312" w:hAnsi="仿宋" w:cs="仿宋"/>
          <w:kern w:val="0"/>
          <w:sz w:val="28"/>
          <w:szCs w:val="28"/>
        </w:rPr>
      </w:pPr>
    </w:p>
    <w:p w:rsidR="00044181" w:rsidRPr="00F63701" w:rsidRDefault="00044181" w:rsidP="00044181">
      <w:pPr>
        <w:ind w:firstLineChars="200" w:firstLine="560"/>
        <w:rPr>
          <w:rFonts w:ascii="仿宋_GB2312" w:eastAsia="仿宋_GB2312" w:hAnsi="仿宋" w:cs="仿宋"/>
          <w:kern w:val="0"/>
          <w:sz w:val="28"/>
          <w:szCs w:val="28"/>
        </w:rPr>
      </w:pPr>
    </w:p>
    <w:p w:rsidR="00044181" w:rsidRPr="00AC1890" w:rsidRDefault="00044181" w:rsidP="00F63701">
      <w:pPr>
        <w:ind w:firstLineChars="200" w:firstLine="560"/>
        <w:jc w:val="center"/>
        <w:rPr>
          <w:rFonts w:ascii="方正小标宋简体" w:eastAsia="方正小标宋简体" w:hAnsi="仿宋" w:cs="仿宋"/>
          <w:kern w:val="0"/>
          <w:sz w:val="28"/>
          <w:szCs w:val="28"/>
        </w:rPr>
      </w:pPr>
      <w:r w:rsidRPr="00AC1890">
        <w:rPr>
          <w:rFonts w:ascii="方正小标宋简体" w:eastAsia="方正小标宋简体" w:hAnsi="仿宋" w:cs="仿宋" w:hint="eastAsia"/>
          <w:kern w:val="0"/>
          <w:sz w:val="28"/>
          <w:szCs w:val="28"/>
        </w:rPr>
        <w:t>中国施工企业管理协会</w:t>
      </w:r>
    </w:p>
    <w:p w:rsidR="00044181" w:rsidRPr="00AC1890" w:rsidRDefault="00044181" w:rsidP="00F63701">
      <w:pPr>
        <w:ind w:firstLineChars="200" w:firstLine="560"/>
        <w:jc w:val="center"/>
        <w:rPr>
          <w:rFonts w:ascii="方正小标宋简体" w:eastAsia="方正小标宋简体" w:hAnsi="仿宋" w:cs="仿宋"/>
          <w:kern w:val="0"/>
          <w:sz w:val="28"/>
          <w:szCs w:val="28"/>
        </w:rPr>
      </w:pPr>
      <w:r w:rsidRPr="00AC1890">
        <w:rPr>
          <w:rFonts w:ascii="方正小标宋简体" w:eastAsia="方正小标宋简体" w:hAnsi="仿宋" w:cs="仿宋" w:hint="eastAsia"/>
          <w:kern w:val="0"/>
          <w:sz w:val="28"/>
          <w:szCs w:val="28"/>
        </w:rPr>
        <w:t>2016年</w:t>
      </w:r>
      <w:r w:rsidR="001654D0">
        <w:rPr>
          <w:rFonts w:ascii="方正小标宋简体" w:eastAsia="方正小标宋简体" w:hAnsi="仿宋" w:cs="仿宋" w:hint="eastAsia"/>
          <w:kern w:val="0"/>
          <w:sz w:val="28"/>
          <w:szCs w:val="28"/>
        </w:rPr>
        <w:t>4</w:t>
      </w:r>
      <w:bookmarkStart w:id="0" w:name="_GoBack"/>
      <w:bookmarkEnd w:id="0"/>
      <w:r w:rsidRPr="00AC1890">
        <w:rPr>
          <w:rFonts w:ascii="方正小标宋简体" w:eastAsia="方正小标宋简体" w:hAnsi="仿宋" w:cs="仿宋" w:hint="eastAsia"/>
          <w:kern w:val="0"/>
          <w:sz w:val="28"/>
          <w:szCs w:val="28"/>
        </w:rPr>
        <w:t>月</w:t>
      </w:r>
    </w:p>
    <w:p w:rsidR="00044181" w:rsidRPr="00F63701" w:rsidRDefault="00044181" w:rsidP="00044181">
      <w:pPr>
        <w:ind w:firstLineChars="200" w:firstLine="560"/>
        <w:rPr>
          <w:rFonts w:ascii="仿宋_GB2312" w:eastAsia="仿宋_GB2312" w:hAnsi="仿宋" w:cs="仿宋"/>
          <w:kern w:val="0"/>
          <w:sz w:val="28"/>
          <w:szCs w:val="28"/>
        </w:rPr>
      </w:pPr>
    </w:p>
    <w:p w:rsidR="00044181" w:rsidRPr="00F63701" w:rsidRDefault="00044181" w:rsidP="00044181">
      <w:pPr>
        <w:ind w:firstLineChars="200" w:firstLine="560"/>
        <w:rPr>
          <w:rFonts w:ascii="仿宋_GB2312" w:eastAsia="仿宋_GB2312" w:hAnsi="仿宋" w:cs="仿宋"/>
          <w:kern w:val="0"/>
          <w:sz w:val="28"/>
          <w:szCs w:val="28"/>
        </w:rPr>
      </w:pPr>
    </w:p>
    <w:p w:rsidR="00044181" w:rsidRPr="00F63701" w:rsidRDefault="00044181" w:rsidP="00044181">
      <w:pPr>
        <w:ind w:firstLineChars="200" w:firstLine="560"/>
        <w:rPr>
          <w:rFonts w:ascii="仿宋_GB2312" w:eastAsia="仿宋_GB2312" w:hAnsi="仿宋" w:cs="仿宋"/>
          <w:kern w:val="0"/>
          <w:sz w:val="28"/>
          <w:szCs w:val="28"/>
        </w:rPr>
      </w:pPr>
    </w:p>
    <w:p w:rsidR="00F63701" w:rsidRPr="00F63701" w:rsidRDefault="00F63701" w:rsidP="00F63701">
      <w:pPr>
        <w:spacing w:line="360" w:lineRule="auto"/>
        <w:ind w:firstLineChars="181" w:firstLine="507"/>
        <w:jc w:val="left"/>
        <w:rPr>
          <w:rFonts w:ascii="仿宋_GB2312" w:eastAsia="仿宋_GB2312"/>
          <w:sz w:val="28"/>
          <w:szCs w:val="28"/>
        </w:rPr>
      </w:pPr>
      <w:r w:rsidRPr="00F63701">
        <w:rPr>
          <w:rFonts w:ascii="仿宋_GB2312" w:eastAsia="仿宋_GB2312" w:hint="eastAsia"/>
          <w:sz w:val="28"/>
          <w:szCs w:val="28"/>
        </w:rPr>
        <w:t>2015年，随着我国经济发展进入新常态，工程建设行业的发展环境发生了新变化。经济下行压力依然较大、固定资产投资增速下滑、项目融资难度不断加大等因素都给广大工程建设企业的可持续发展带来了新挑战。</w:t>
      </w:r>
    </w:p>
    <w:p w:rsidR="00F63701" w:rsidRPr="00F63701" w:rsidRDefault="00F63701" w:rsidP="00F63701">
      <w:pPr>
        <w:spacing w:line="360" w:lineRule="auto"/>
        <w:ind w:firstLineChars="200" w:firstLine="560"/>
        <w:rPr>
          <w:rFonts w:ascii="仿宋_GB2312" w:eastAsia="仿宋_GB2312" w:hAnsi="Times New Roman"/>
          <w:sz w:val="28"/>
          <w:szCs w:val="28"/>
        </w:rPr>
      </w:pPr>
      <w:r w:rsidRPr="00F63701">
        <w:rPr>
          <w:rFonts w:ascii="仿宋_GB2312" w:eastAsia="仿宋_GB2312" w:hAnsi="Times New Roman" w:hint="eastAsia"/>
          <w:sz w:val="28"/>
          <w:szCs w:val="28"/>
        </w:rPr>
        <w:t>为了解工程建设企业经营情况，掌握行业发展现状，判断发展趋势，中国施工企业管理协会行业发展部部分地区和企业生产经营情况进行了抽样调查。</w:t>
      </w:r>
    </w:p>
    <w:p w:rsidR="00363C01" w:rsidRPr="00F63701" w:rsidRDefault="00AC1890" w:rsidP="00790AF3">
      <w:pPr>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本</w:t>
      </w:r>
      <w:r w:rsidR="00AB454A" w:rsidRPr="00F63701">
        <w:rPr>
          <w:rFonts w:ascii="仿宋_GB2312" w:eastAsia="仿宋_GB2312" w:hAnsi="仿宋" w:cs="仿宋" w:hint="eastAsia"/>
          <w:kern w:val="0"/>
          <w:sz w:val="28"/>
          <w:szCs w:val="28"/>
        </w:rPr>
        <w:t>次</w:t>
      </w:r>
      <w:r w:rsidR="002843A8" w:rsidRPr="00F63701">
        <w:rPr>
          <w:rFonts w:ascii="仿宋_GB2312" w:eastAsia="仿宋_GB2312" w:hAnsi="仿宋" w:cs="仿宋" w:hint="eastAsia"/>
          <w:kern w:val="0"/>
          <w:sz w:val="28"/>
          <w:szCs w:val="28"/>
        </w:rPr>
        <w:t>抽样调查</w:t>
      </w:r>
      <w:r w:rsidR="00AB454A" w:rsidRPr="00F63701">
        <w:rPr>
          <w:rFonts w:ascii="仿宋_GB2312" w:eastAsia="仿宋_GB2312" w:hAnsi="仿宋" w:cs="仿宋" w:hint="eastAsia"/>
          <w:kern w:val="0"/>
          <w:sz w:val="28"/>
          <w:szCs w:val="28"/>
        </w:rPr>
        <w:t>数据在</w:t>
      </w:r>
      <w:r w:rsidR="002843A8" w:rsidRPr="00F63701">
        <w:rPr>
          <w:rFonts w:ascii="仿宋_GB2312" w:eastAsia="仿宋_GB2312" w:hAnsi="仿宋" w:cs="仿宋" w:hint="eastAsia"/>
          <w:kern w:val="0"/>
          <w:sz w:val="28"/>
          <w:szCs w:val="28"/>
        </w:rPr>
        <w:t>全国优秀施工企业</w:t>
      </w:r>
      <w:r w:rsidR="00AB454A" w:rsidRPr="00F63701">
        <w:rPr>
          <w:rFonts w:ascii="仿宋_GB2312" w:eastAsia="仿宋_GB2312" w:hAnsi="仿宋" w:cs="仿宋" w:hint="eastAsia"/>
          <w:kern w:val="0"/>
          <w:sz w:val="28"/>
          <w:szCs w:val="28"/>
        </w:rPr>
        <w:t>申请数据库中抽取，总计有效企业经营数据296份；另外</w:t>
      </w:r>
      <w:r w:rsidR="00AB454A" w:rsidRPr="008C23F3">
        <w:rPr>
          <w:rFonts w:ascii="仿宋_GB2312" w:eastAsia="仿宋_GB2312" w:hint="eastAsia"/>
          <w:sz w:val="28"/>
          <w:szCs w:val="28"/>
        </w:rPr>
        <w:t>抽取了副会长单位</w:t>
      </w:r>
      <w:r w:rsidR="008C23F3" w:rsidRPr="008C23F3">
        <w:rPr>
          <w:rFonts w:ascii="仿宋_GB2312" w:eastAsia="仿宋_GB2312" w:hint="eastAsia"/>
          <w:sz w:val="28"/>
          <w:szCs w:val="28"/>
        </w:rPr>
        <w:t>9</w:t>
      </w:r>
      <w:r w:rsidR="00AB454A" w:rsidRPr="008C23F3">
        <w:rPr>
          <w:rFonts w:ascii="仿宋_GB2312" w:eastAsia="仿宋_GB2312" w:hint="eastAsia"/>
          <w:sz w:val="28"/>
          <w:szCs w:val="28"/>
        </w:rPr>
        <w:t>家</w:t>
      </w:r>
      <w:r w:rsidRPr="008C23F3">
        <w:rPr>
          <w:rFonts w:ascii="仿宋_GB2312" w:eastAsia="仿宋_GB2312" w:hint="eastAsia"/>
          <w:sz w:val="28"/>
          <w:szCs w:val="28"/>
        </w:rPr>
        <w:t>:</w:t>
      </w:r>
      <w:r w:rsidR="00AB454A" w:rsidRPr="008C23F3">
        <w:rPr>
          <w:rFonts w:ascii="仿宋_GB2312" w:eastAsia="仿宋_GB2312" w:hint="eastAsia"/>
          <w:sz w:val="28"/>
          <w:szCs w:val="28"/>
        </w:rPr>
        <w:t>分别为中国</w:t>
      </w:r>
      <w:r w:rsidR="00AB454A" w:rsidRPr="00F63701">
        <w:rPr>
          <w:rFonts w:ascii="仿宋_GB2312" w:eastAsia="仿宋_GB2312" w:hAnsi="仿宋" w:cs="仿宋" w:hint="eastAsia"/>
          <w:kern w:val="0"/>
          <w:sz w:val="28"/>
          <w:szCs w:val="28"/>
        </w:rPr>
        <w:t>能源建设集团有限公司，中国石油工程集团有限公司 ，中国中铁股份有限责任公司，中</w:t>
      </w:r>
      <w:r w:rsidR="00044181" w:rsidRPr="00F63701">
        <w:rPr>
          <w:rFonts w:ascii="仿宋_GB2312" w:eastAsia="仿宋_GB2312" w:hAnsi="仿宋" w:cs="仿宋" w:hint="eastAsia"/>
          <w:kern w:val="0"/>
          <w:sz w:val="28"/>
          <w:szCs w:val="28"/>
        </w:rPr>
        <w:t>国</w:t>
      </w:r>
      <w:r w:rsidR="00AB454A" w:rsidRPr="00F63701">
        <w:rPr>
          <w:rFonts w:ascii="仿宋_GB2312" w:eastAsia="仿宋_GB2312" w:hAnsi="仿宋" w:cs="仿宋" w:hint="eastAsia"/>
          <w:kern w:val="0"/>
          <w:sz w:val="28"/>
          <w:szCs w:val="28"/>
        </w:rPr>
        <w:t>电</w:t>
      </w:r>
      <w:r w:rsidR="00044181" w:rsidRPr="00F63701">
        <w:rPr>
          <w:rFonts w:ascii="仿宋_GB2312" w:eastAsia="仿宋_GB2312" w:hAnsi="仿宋" w:cs="仿宋" w:hint="eastAsia"/>
          <w:kern w:val="0"/>
          <w:sz w:val="28"/>
          <w:szCs w:val="28"/>
        </w:rPr>
        <w:t>力</w:t>
      </w:r>
      <w:r w:rsidR="00AB454A" w:rsidRPr="00F63701">
        <w:rPr>
          <w:rFonts w:ascii="仿宋_GB2312" w:eastAsia="仿宋_GB2312" w:hAnsi="仿宋" w:cs="仿宋" w:hint="eastAsia"/>
          <w:kern w:val="0"/>
          <w:sz w:val="28"/>
          <w:szCs w:val="28"/>
        </w:rPr>
        <w:t>建</w:t>
      </w:r>
      <w:r w:rsidR="00044181" w:rsidRPr="00F63701">
        <w:rPr>
          <w:rFonts w:ascii="仿宋_GB2312" w:eastAsia="仿宋_GB2312" w:hAnsi="仿宋" w:cs="仿宋" w:hint="eastAsia"/>
          <w:kern w:val="0"/>
          <w:sz w:val="28"/>
          <w:szCs w:val="28"/>
        </w:rPr>
        <w:t>设集团有限公司</w:t>
      </w:r>
      <w:r w:rsidR="00AB454A" w:rsidRPr="00F63701">
        <w:rPr>
          <w:rFonts w:ascii="仿宋_GB2312" w:eastAsia="仿宋_GB2312" w:hAnsi="仿宋" w:cs="仿宋" w:hint="eastAsia"/>
          <w:kern w:val="0"/>
          <w:sz w:val="28"/>
          <w:szCs w:val="28"/>
        </w:rPr>
        <w:t>，宝业集团股份有限公司</w:t>
      </w:r>
      <w:r w:rsidR="008C23F3">
        <w:rPr>
          <w:rFonts w:ascii="仿宋_GB2312" w:eastAsia="仿宋_GB2312" w:hAnsi="仿宋" w:cs="仿宋" w:hint="eastAsia"/>
          <w:kern w:val="0"/>
          <w:sz w:val="28"/>
          <w:szCs w:val="28"/>
        </w:rPr>
        <w:t>，中国化学工程集团公司，中国新兴建设开发总公司，中</w:t>
      </w:r>
      <w:proofErr w:type="gramStart"/>
      <w:r w:rsidR="008C23F3">
        <w:rPr>
          <w:rFonts w:ascii="仿宋_GB2312" w:eastAsia="仿宋_GB2312" w:hAnsi="仿宋" w:cs="仿宋" w:hint="eastAsia"/>
          <w:kern w:val="0"/>
          <w:sz w:val="28"/>
          <w:szCs w:val="28"/>
        </w:rPr>
        <w:t>亿丰建设</w:t>
      </w:r>
      <w:proofErr w:type="gramEnd"/>
      <w:r w:rsidR="008C23F3">
        <w:rPr>
          <w:rFonts w:ascii="仿宋_GB2312" w:eastAsia="仿宋_GB2312" w:hAnsi="仿宋" w:cs="仿宋" w:hint="eastAsia"/>
          <w:kern w:val="0"/>
          <w:sz w:val="28"/>
          <w:szCs w:val="28"/>
        </w:rPr>
        <w:t>集团股份有限公司，中国建筑工程总公司</w:t>
      </w:r>
      <w:r w:rsidR="00AB454A" w:rsidRPr="00F63701">
        <w:rPr>
          <w:rFonts w:ascii="仿宋_GB2312" w:eastAsia="仿宋_GB2312" w:hAnsi="仿宋" w:cs="仿宋" w:hint="eastAsia"/>
          <w:kern w:val="0"/>
          <w:sz w:val="28"/>
          <w:szCs w:val="28"/>
        </w:rPr>
        <w:t xml:space="preserve"> </w:t>
      </w:r>
      <w:r w:rsidR="002843A8" w:rsidRPr="00F63701">
        <w:rPr>
          <w:rFonts w:ascii="仿宋_GB2312" w:eastAsia="仿宋_GB2312" w:hAnsi="仿宋" w:cs="仿宋" w:hint="eastAsia"/>
          <w:kern w:val="0"/>
          <w:sz w:val="28"/>
          <w:szCs w:val="28"/>
        </w:rPr>
        <w:t>；抽样省市</w:t>
      </w:r>
      <w:r w:rsidR="00AB454A" w:rsidRPr="00F63701">
        <w:rPr>
          <w:rFonts w:ascii="仿宋_GB2312" w:eastAsia="仿宋_GB2312" w:hAnsi="仿宋" w:cs="仿宋" w:hint="eastAsia"/>
          <w:kern w:val="0"/>
          <w:sz w:val="28"/>
          <w:szCs w:val="28"/>
        </w:rPr>
        <w:t>为广东省，河南省，山西省，浙江省，深圳市</w:t>
      </w:r>
      <w:r w:rsidR="001E68A4">
        <w:rPr>
          <w:rFonts w:ascii="仿宋_GB2312" w:eastAsia="仿宋_GB2312" w:hAnsi="仿宋" w:cs="仿宋" w:hint="eastAsia"/>
          <w:kern w:val="0"/>
          <w:sz w:val="28"/>
          <w:szCs w:val="28"/>
        </w:rPr>
        <w:t>，天津市</w:t>
      </w:r>
      <w:r w:rsidR="00AB454A" w:rsidRPr="00F63701">
        <w:rPr>
          <w:rFonts w:ascii="仿宋_GB2312" w:eastAsia="仿宋_GB2312" w:hAnsi="仿宋" w:cs="仿宋" w:hint="eastAsia"/>
          <w:kern w:val="0"/>
          <w:sz w:val="28"/>
          <w:szCs w:val="28"/>
        </w:rPr>
        <w:t>；抽样行业为石油工程建设行业</w:t>
      </w:r>
      <w:r w:rsidR="002843A8" w:rsidRPr="00F63701">
        <w:rPr>
          <w:rFonts w:ascii="仿宋_GB2312" w:eastAsia="仿宋_GB2312" w:hAnsi="仿宋" w:cs="仿宋" w:hint="eastAsia"/>
          <w:kern w:val="0"/>
          <w:sz w:val="28"/>
          <w:szCs w:val="28"/>
        </w:rPr>
        <w:t>和</w:t>
      </w:r>
      <w:r w:rsidR="00AB454A" w:rsidRPr="00F63701">
        <w:rPr>
          <w:rFonts w:ascii="仿宋_GB2312" w:eastAsia="仿宋_GB2312" w:hAnsi="仿宋" w:cs="仿宋" w:hint="eastAsia"/>
          <w:kern w:val="0"/>
          <w:sz w:val="28"/>
          <w:szCs w:val="28"/>
        </w:rPr>
        <w:t>电力建设行业。</w:t>
      </w:r>
    </w:p>
    <w:p w:rsidR="00363C01" w:rsidRPr="00F63701" w:rsidRDefault="002843A8" w:rsidP="00790AF3">
      <w:pPr>
        <w:ind w:firstLineChars="200" w:firstLine="560"/>
        <w:rPr>
          <w:rFonts w:ascii="仿宋_GB2312" w:eastAsia="仿宋_GB2312" w:hAnsi="仿宋" w:cs="仿宋"/>
          <w:kern w:val="0"/>
          <w:sz w:val="28"/>
          <w:szCs w:val="28"/>
        </w:rPr>
      </w:pPr>
      <w:r w:rsidRPr="00F63701">
        <w:rPr>
          <w:rFonts w:ascii="仿宋_GB2312" w:eastAsia="仿宋_GB2312" w:hAnsi="仿宋" w:cs="仿宋" w:hint="eastAsia"/>
          <w:kern w:val="0"/>
          <w:sz w:val="28"/>
          <w:szCs w:val="28"/>
        </w:rPr>
        <w:t>一、抽样工程建设企业2015年度经营情况</w:t>
      </w:r>
    </w:p>
    <w:p w:rsidR="005C498A" w:rsidRDefault="005C498A" w:rsidP="006B2EF2">
      <w:pPr>
        <w:spacing w:line="360" w:lineRule="auto"/>
        <w:ind w:firstLineChars="200" w:firstLine="60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（一）地区划分企业经营数据</w:t>
      </w:r>
    </w:p>
    <w:p w:rsidR="006B2EF2" w:rsidRDefault="006B2EF2" w:rsidP="006B2EF2">
      <w:pPr>
        <w:spacing w:line="360" w:lineRule="auto"/>
        <w:ind w:firstLineChars="200" w:firstLine="60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抽样企业中，华东地区（上海、江苏、江西、浙江、福建、山东、安徽）企业数量占比</w:t>
      </w:r>
      <w:r w:rsidR="00483791">
        <w:rPr>
          <w:rFonts w:ascii="Times New Roman" w:eastAsia="仿宋_GB2312" w:hAnsi="Times New Roman" w:hint="eastAsia"/>
          <w:color w:val="000000" w:themeColor="text1"/>
          <w:sz w:val="30"/>
          <w:szCs w:val="30"/>
        </w:rPr>
        <w:t>43.58</w:t>
      </w:r>
      <w:r>
        <w:rPr>
          <w:rFonts w:ascii="Times New Roman" w:eastAsia="仿宋_GB2312" w:hAnsi="Times New Roman"/>
          <w:color w:val="000000" w:themeColor="text1"/>
          <w:sz w:val="30"/>
          <w:szCs w:val="30"/>
        </w:rPr>
        <w:t>%</w:t>
      </w:r>
      <w:r>
        <w:rPr>
          <w:rFonts w:ascii="Times New Roman" w:eastAsia="仿宋_GB2312" w:hAnsi="Times New Roman" w:hint="eastAsia"/>
          <w:color w:val="000000" w:themeColor="text1"/>
          <w:sz w:val="30"/>
          <w:szCs w:val="30"/>
        </w:rPr>
        <w:t>；华北地区（北京、天津、河北、内蒙古、山西）企业数量占比</w:t>
      </w:r>
      <w:r w:rsidR="008674C9">
        <w:rPr>
          <w:rFonts w:ascii="Times New Roman" w:eastAsia="仿宋_GB2312" w:hAnsi="Times New Roman" w:hint="eastAsia"/>
          <w:color w:val="000000" w:themeColor="text1"/>
          <w:sz w:val="30"/>
          <w:szCs w:val="30"/>
        </w:rPr>
        <w:t>21.28</w:t>
      </w:r>
      <w:r>
        <w:rPr>
          <w:rFonts w:ascii="Times New Roman" w:eastAsia="仿宋_GB2312" w:hAnsi="Times New Roman"/>
          <w:color w:val="000000" w:themeColor="text1"/>
          <w:sz w:val="30"/>
          <w:szCs w:val="30"/>
        </w:rPr>
        <w:t>%</w:t>
      </w:r>
      <w:r>
        <w:rPr>
          <w:rFonts w:ascii="Times New Roman" w:eastAsia="仿宋_GB2312" w:hAnsi="Times New Roman" w:hint="eastAsia"/>
          <w:color w:val="000000" w:themeColor="text1"/>
          <w:sz w:val="30"/>
          <w:szCs w:val="30"/>
        </w:rPr>
        <w:t>；华中地区（湖北、河南、湖南）数量企业占比</w:t>
      </w:r>
      <w:r w:rsidR="008674C9">
        <w:rPr>
          <w:rFonts w:ascii="Times New Roman" w:eastAsia="仿宋_GB2312" w:hAnsi="Times New Roman" w:hint="eastAsia"/>
          <w:color w:val="000000" w:themeColor="text1"/>
          <w:sz w:val="30"/>
          <w:szCs w:val="30"/>
        </w:rPr>
        <w:t>9.80</w:t>
      </w:r>
      <w:r>
        <w:rPr>
          <w:rFonts w:ascii="Times New Roman" w:eastAsia="仿宋_GB2312" w:hAnsi="Times New Roman"/>
          <w:color w:val="000000" w:themeColor="text1"/>
          <w:sz w:val="30"/>
          <w:szCs w:val="30"/>
        </w:rPr>
        <w:t>%</w:t>
      </w:r>
      <w:r>
        <w:rPr>
          <w:rFonts w:ascii="Times New Roman" w:eastAsia="仿宋_GB2312" w:hAnsi="Times New Roman" w:hint="eastAsia"/>
          <w:color w:val="000000" w:themeColor="text1"/>
          <w:sz w:val="30"/>
          <w:szCs w:val="30"/>
        </w:rPr>
        <w:t>；华南地区（广西、广东）企</w:t>
      </w:r>
      <w:r>
        <w:rPr>
          <w:rFonts w:ascii="Times New Roman" w:eastAsia="仿宋_GB2312" w:hAnsi="Times New Roman" w:hint="eastAsia"/>
          <w:color w:val="000000" w:themeColor="text1"/>
          <w:sz w:val="30"/>
          <w:szCs w:val="30"/>
        </w:rPr>
        <w:lastRenderedPageBreak/>
        <w:t>业数量占比</w:t>
      </w:r>
      <w:r w:rsidR="008674C9">
        <w:rPr>
          <w:rFonts w:ascii="Times New Roman" w:eastAsia="仿宋_GB2312" w:hAnsi="Times New Roman" w:hint="eastAsia"/>
          <w:color w:val="000000" w:themeColor="text1"/>
          <w:sz w:val="30"/>
          <w:szCs w:val="30"/>
        </w:rPr>
        <w:t>10.14</w:t>
      </w:r>
      <w:r>
        <w:rPr>
          <w:rFonts w:ascii="Times New Roman" w:eastAsia="仿宋_GB2312" w:hAnsi="Times New Roman"/>
          <w:color w:val="000000" w:themeColor="text1"/>
          <w:sz w:val="30"/>
          <w:szCs w:val="30"/>
        </w:rPr>
        <w:t>%</w:t>
      </w:r>
      <w:r>
        <w:rPr>
          <w:rFonts w:ascii="Times New Roman" w:eastAsia="仿宋_GB2312" w:hAnsi="Times New Roman" w:hint="eastAsia"/>
          <w:color w:val="000000" w:themeColor="text1"/>
          <w:sz w:val="30"/>
          <w:szCs w:val="30"/>
        </w:rPr>
        <w:t>；西南地区（云南、四川、贵州、重庆）数量企业占比</w:t>
      </w:r>
      <w:r w:rsidR="008674C9">
        <w:rPr>
          <w:rFonts w:ascii="Times New Roman" w:eastAsia="仿宋_GB2312" w:hAnsi="Times New Roman" w:hint="eastAsia"/>
          <w:color w:val="000000" w:themeColor="text1"/>
          <w:sz w:val="30"/>
          <w:szCs w:val="30"/>
        </w:rPr>
        <w:t>5.74</w:t>
      </w:r>
      <w:r>
        <w:rPr>
          <w:rFonts w:ascii="Times New Roman" w:eastAsia="仿宋_GB2312" w:hAnsi="Times New Roman"/>
          <w:color w:val="000000" w:themeColor="text1"/>
          <w:sz w:val="30"/>
          <w:szCs w:val="30"/>
        </w:rPr>
        <w:t>%</w:t>
      </w:r>
      <w:r>
        <w:rPr>
          <w:rFonts w:ascii="Times New Roman" w:eastAsia="仿宋_GB2312" w:hAnsi="Times New Roman" w:hint="eastAsia"/>
          <w:color w:val="000000" w:themeColor="text1"/>
          <w:sz w:val="30"/>
          <w:szCs w:val="30"/>
        </w:rPr>
        <w:t>；西北地区（陕西、青海、宁夏、新疆）企业数量占比</w:t>
      </w:r>
      <w:r w:rsidR="008674C9">
        <w:rPr>
          <w:rFonts w:ascii="Times New Roman" w:eastAsia="仿宋_GB2312" w:hAnsi="Times New Roman" w:hint="eastAsia"/>
          <w:color w:val="000000" w:themeColor="text1"/>
          <w:sz w:val="30"/>
          <w:szCs w:val="30"/>
        </w:rPr>
        <w:t>5.41</w:t>
      </w:r>
      <w:r>
        <w:rPr>
          <w:rFonts w:ascii="Times New Roman" w:eastAsia="仿宋_GB2312" w:hAnsi="Times New Roman"/>
          <w:color w:val="000000" w:themeColor="text1"/>
          <w:sz w:val="30"/>
          <w:szCs w:val="30"/>
        </w:rPr>
        <w:t>%</w:t>
      </w:r>
      <w:r>
        <w:rPr>
          <w:rFonts w:ascii="Times New Roman" w:eastAsia="仿宋_GB2312" w:hAnsi="Times New Roman" w:hint="eastAsia"/>
          <w:color w:val="000000" w:themeColor="text1"/>
          <w:sz w:val="30"/>
          <w:szCs w:val="30"/>
        </w:rPr>
        <w:t>；东北地区（辽宁、黑龙江）企业数量占比</w:t>
      </w:r>
      <w:r w:rsidR="008674C9">
        <w:rPr>
          <w:rFonts w:ascii="Times New Roman" w:eastAsia="仿宋_GB2312" w:hAnsi="Times New Roman" w:hint="eastAsia"/>
          <w:color w:val="000000" w:themeColor="text1"/>
          <w:sz w:val="30"/>
          <w:szCs w:val="30"/>
        </w:rPr>
        <w:t>4.05</w:t>
      </w:r>
      <w:r>
        <w:rPr>
          <w:rFonts w:ascii="Times New Roman" w:eastAsia="仿宋_GB2312" w:hAnsi="Times New Roman"/>
          <w:color w:val="000000" w:themeColor="text1"/>
          <w:sz w:val="30"/>
          <w:szCs w:val="30"/>
        </w:rPr>
        <w:t>%</w:t>
      </w:r>
      <w:r>
        <w:rPr>
          <w:rFonts w:ascii="Times New Roman" w:eastAsia="仿宋_GB2312" w:hAnsi="Times New Roman" w:hint="eastAsia"/>
          <w:color w:val="000000" w:themeColor="text1"/>
          <w:sz w:val="30"/>
          <w:szCs w:val="30"/>
        </w:rPr>
        <w:t>。</w:t>
      </w:r>
    </w:p>
    <w:p w:rsidR="00363C01" w:rsidRPr="006B2EF2" w:rsidRDefault="00363C01" w:rsidP="00044181">
      <w:pPr>
        <w:ind w:firstLineChars="200" w:firstLine="560"/>
        <w:rPr>
          <w:rFonts w:ascii="仿宋_GB2312" w:eastAsia="仿宋_GB2312" w:hAnsi="仿宋" w:cs="仿宋"/>
          <w:kern w:val="0"/>
          <w:sz w:val="28"/>
          <w:szCs w:val="28"/>
        </w:rPr>
      </w:pPr>
    </w:p>
    <w:p w:rsidR="00363C01" w:rsidRPr="00F63701" w:rsidRDefault="008674C9" w:rsidP="006B2EF2">
      <w:pPr>
        <w:ind w:firstLineChars="200" w:firstLine="420"/>
        <w:rPr>
          <w:rFonts w:ascii="仿宋_GB2312" w:eastAsia="仿宋_GB2312" w:hAnsi="仿宋" w:cs="仿宋"/>
          <w:kern w:val="0"/>
          <w:sz w:val="28"/>
          <w:szCs w:val="28"/>
        </w:rPr>
      </w:pPr>
      <w:r>
        <w:rPr>
          <w:noProof/>
        </w:rPr>
        <w:drawing>
          <wp:inline distT="0" distB="0" distL="0" distR="0" wp14:anchorId="484C962A" wp14:editId="5F488E30">
            <wp:extent cx="5274310" cy="3021130"/>
            <wp:effectExtent l="0" t="0" r="2540" b="8255"/>
            <wp:docPr id="3" name="图表 3" title="不同地区抽样企业数量"/>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3C01" w:rsidRDefault="008674C9" w:rsidP="00044181">
      <w:pPr>
        <w:ind w:firstLineChars="200" w:firstLine="560"/>
        <w:rPr>
          <w:rFonts w:ascii="黑体" w:eastAsia="黑体" w:hAnsi="黑体" w:cs="仿宋"/>
          <w:kern w:val="0"/>
          <w:sz w:val="24"/>
          <w:szCs w:val="28"/>
        </w:rPr>
      </w:pPr>
      <w:r>
        <w:rPr>
          <w:rFonts w:ascii="仿宋_GB2312" w:eastAsia="仿宋_GB2312" w:hAnsi="仿宋" w:cs="仿宋" w:hint="eastAsia"/>
          <w:kern w:val="0"/>
          <w:sz w:val="28"/>
          <w:szCs w:val="28"/>
        </w:rPr>
        <w:t xml:space="preserve">             </w:t>
      </w:r>
      <w:r w:rsidRPr="008674C9">
        <w:rPr>
          <w:rFonts w:ascii="黑体" w:eastAsia="黑体" w:hAnsi="黑体" w:cs="仿宋" w:hint="eastAsia"/>
          <w:kern w:val="0"/>
          <w:sz w:val="24"/>
          <w:szCs w:val="28"/>
        </w:rPr>
        <w:t>图1：不同地区抽样企业数量分布图</w:t>
      </w:r>
    </w:p>
    <w:p w:rsidR="009C53D1" w:rsidRDefault="00A90A5B" w:rsidP="00A90A5B">
      <w:pPr>
        <w:ind w:firstLineChars="200" w:firstLine="560"/>
        <w:rPr>
          <w:rFonts w:ascii="华文仿宋" w:eastAsia="华文仿宋" w:hAnsi="华文仿宋" w:cs="仿宋"/>
          <w:kern w:val="0"/>
          <w:sz w:val="28"/>
          <w:szCs w:val="28"/>
        </w:rPr>
      </w:pPr>
      <w:r>
        <w:rPr>
          <w:rFonts w:ascii="华文仿宋" w:eastAsia="华文仿宋" w:hAnsi="华文仿宋" w:cs="仿宋" w:hint="eastAsia"/>
          <w:kern w:val="0"/>
          <w:sz w:val="28"/>
          <w:szCs w:val="28"/>
        </w:rPr>
        <w:t xml:space="preserve">  </w:t>
      </w:r>
    </w:p>
    <w:p w:rsidR="008674C9" w:rsidRDefault="00A90A5B" w:rsidP="00A90A5B">
      <w:pPr>
        <w:ind w:firstLineChars="200" w:firstLine="560"/>
        <w:rPr>
          <w:rFonts w:ascii="华文仿宋" w:eastAsia="华文仿宋" w:hAnsi="华文仿宋" w:cs="仿宋"/>
          <w:kern w:val="0"/>
          <w:sz w:val="28"/>
          <w:szCs w:val="28"/>
        </w:rPr>
      </w:pPr>
      <w:r>
        <w:rPr>
          <w:rFonts w:ascii="华文仿宋" w:eastAsia="华文仿宋" w:hAnsi="华文仿宋" w:cs="仿宋" w:hint="eastAsia"/>
          <w:kern w:val="0"/>
          <w:sz w:val="28"/>
          <w:szCs w:val="28"/>
        </w:rPr>
        <w:t>下表及图2所示为2015年度抽样企业按照区域划分后的产值增长率及利润增长率</w:t>
      </w:r>
    </w:p>
    <w:p w:rsidR="00A90A5B" w:rsidRDefault="00A90A5B" w:rsidP="00166219">
      <w:pPr>
        <w:ind w:firstLineChars="200" w:firstLine="560"/>
        <w:rPr>
          <w:rFonts w:ascii="华文仿宋" w:eastAsia="华文仿宋" w:hAnsi="华文仿宋" w:cs="仿宋"/>
          <w:kern w:val="0"/>
          <w:sz w:val="28"/>
          <w:szCs w:val="28"/>
        </w:rPr>
      </w:pPr>
      <w:r>
        <w:rPr>
          <w:rFonts w:ascii="华文仿宋" w:eastAsia="华文仿宋" w:hAnsi="华文仿宋" w:cs="仿宋" w:hint="eastAsia"/>
          <w:kern w:val="0"/>
          <w:sz w:val="28"/>
          <w:szCs w:val="28"/>
        </w:rPr>
        <w:t>在7个地</w:t>
      </w:r>
      <w:r w:rsidR="00166219">
        <w:rPr>
          <w:rFonts w:ascii="华文仿宋" w:eastAsia="华文仿宋" w:hAnsi="华文仿宋" w:cs="仿宋" w:hint="eastAsia"/>
          <w:kern w:val="0"/>
          <w:sz w:val="28"/>
          <w:szCs w:val="28"/>
        </w:rPr>
        <w:t>区</w:t>
      </w:r>
      <w:r>
        <w:rPr>
          <w:rFonts w:ascii="华文仿宋" w:eastAsia="华文仿宋" w:hAnsi="华文仿宋" w:cs="仿宋" w:hint="eastAsia"/>
          <w:kern w:val="0"/>
          <w:sz w:val="28"/>
          <w:szCs w:val="28"/>
        </w:rPr>
        <w:t>内，只有华中地区</w:t>
      </w:r>
      <w:r w:rsidR="00166219">
        <w:rPr>
          <w:rFonts w:ascii="华文仿宋" w:eastAsia="华文仿宋" w:hAnsi="华文仿宋" w:cs="仿宋" w:hint="eastAsia"/>
          <w:kern w:val="0"/>
          <w:sz w:val="28"/>
          <w:szCs w:val="28"/>
        </w:rPr>
        <w:t>和华北地区</w:t>
      </w:r>
      <w:r>
        <w:rPr>
          <w:rFonts w:ascii="华文仿宋" w:eastAsia="华文仿宋" w:hAnsi="华文仿宋" w:cs="仿宋" w:hint="eastAsia"/>
          <w:kern w:val="0"/>
          <w:sz w:val="28"/>
          <w:szCs w:val="28"/>
        </w:rPr>
        <w:t>的产值及利润增长率</w:t>
      </w:r>
      <w:r w:rsidR="00166219">
        <w:rPr>
          <w:rFonts w:ascii="华文仿宋" w:eastAsia="华文仿宋" w:hAnsi="华文仿宋" w:cs="仿宋" w:hint="eastAsia"/>
          <w:kern w:val="0"/>
          <w:sz w:val="28"/>
          <w:szCs w:val="28"/>
        </w:rPr>
        <w:t>为正向</w:t>
      </w:r>
      <w:r>
        <w:rPr>
          <w:rFonts w:ascii="华文仿宋" w:eastAsia="华文仿宋" w:hAnsi="华文仿宋" w:cs="仿宋" w:hint="eastAsia"/>
          <w:kern w:val="0"/>
          <w:sz w:val="28"/>
          <w:szCs w:val="28"/>
        </w:rPr>
        <w:t>增长，</w:t>
      </w:r>
      <w:r w:rsidR="00166219">
        <w:rPr>
          <w:rFonts w:ascii="华文仿宋" w:eastAsia="华文仿宋" w:hAnsi="华文仿宋" w:cs="仿宋" w:hint="eastAsia"/>
          <w:kern w:val="0"/>
          <w:sz w:val="28"/>
          <w:szCs w:val="28"/>
        </w:rPr>
        <w:t>华中地区增幅最大，</w:t>
      </w:r>
      <w:r>
        <w:rPr>
          <w:rFonts w:ascii="华文仿宋" w:eastAsia="华文仿宋" w:hAnsi="华文仿宋" w:cs="仿宋" w:hint="eastAsia"/>
          <w:kern w:val="0"/>
          <w:sz w:val="28"/>
          <w:szCs w:val="28"/>
        </w:rPr>
        <w:t>分别为12.55%，24.67%。其余</w:t>
      </w:r>
      <w:r w:rsidR="00166219">
        <w:rPr>
          <w:rFonts w:ascii="华文仿宋" w:eastAsia="华文仿宋" w:hAnsi="华文仿宋" w:cs="仿宋" w:hint="eastAsia"/>
          <w:kern w:val="0"/>
          <w:sz w:val="28"/>
          <w:szCs w:val="28"/>
        </w:rPr>
        <w:t>5</w:t>
      </w:r>
      <w:r>
        <w:rPr>
          <w:rFonts w:ascii="华文仿宋" w:eastAsia="华文仿宋" w:hAnsi="华文仿宋" w:cs="仿宋" w:hint="eastAsia"/>
          <w:kern w:val="0"/>
          <w:sz w:val="28"/>
          <w:szCs w:val="28"/>
        </w:rPr>
        <w:t>个地区的利润增长率相较于产值增长率而言都出现了不同程度的下滑趋势。</w:t>
      </w:r>
    </w:p>
    <w:p w:rsidR="00A90A5B" w:rsidRDefault="00166219" w:rsidP="00A90A5B">
      <w:pPr>
        <w:ind w:firstLineChars="200" w:firstLine="560"/>
        <w:rPr>
          <w:rFonts w:ascii="华文仿宋" w:eastAsia="华文仿宋" w:hAnsi="华文仿宋" w:cs="仿宋"/>
          <w:kern w:val="0"/>
          <w:sz w:val="28"/>
          <w:szCs w:val="28"/>
        </w:rPr>
      </w:pPr>
      <w:r>
        <w:rPr>
          <w:rFonts w:ascii="华文仿宋" w:eastAsia="华文仿宋" w:hAnsi="华文仿宋" w:cs="仿宋" w:hint="eastAsia"/>
          <w:kern w:val="0"/>
          <w:sz w:val="28"/>
          <w:szCs w:val="28"/>
        </w:rPr>
        <w:t>东北地区企业经营数据波动幅度最大，产值增长率下降3.04个百分点，利润增长率下降26.44个百分点。</w:t>
      </w:r>
    </w:p>
    <w:p w:rsidR="00166219" w:rsidRDefault="00166219" w:rsidP="00A90A5B">
      <w:pPr>
        <w:ind w:firstLineChars="200" w:firstLine="560"/>
        <w:rPr>
          <w:rFonts w:ascii="华文仿宋" w:eastAsia="华文仿宋" w:hAnsi="华文仿宋" w:cs="仿宋"/>
          <w:kern w:val="0"/>
          <w:sz w:val="28"/>
          <w:szCs w:val="28"/>
        </w:rPr>
      </w:pPr>
    </w:p>
    <w:p w:rsidR="00166219" w:rsidRDefault="00166219" w:rsidP="00A90A5B">
      <w:pPr>
        <w:ind w:firstLineChars="200" w:firstLine="560"/>
        <w:rPr>
          <w:rFonts w:ascii="华文仿宋" w:eastAsia="华文仿宋" w:hAnsi="华文仿宋" w:cs="仿宋"/>
          <w:kern w:val="0"/>
          <w:sz w:val="28"/>
          <w:szCs w:val="28"/>
        </w:rPr>
      </w:pPr>
    </w:p>
    <w:p w:rsidR="00A90A5B" w:rsidRPr="00A90A5B" w:rsidRDefault="00A90A5B" w:rsidP="00A90A5B">
      <w:pPr>
        <w:ind w:firstLineChars="200" w:firstLine="560"/>
        <w:rPr>
          <w:rFonts w:ascii="华文仿宋" w:eastAsia="华文仿宋" w:hAnsi="华文仿宋" w:cs="仿宋"/>
          <w:kern w:val="0"/>
          <w:sz w:val="28"/>
          <w:szCs w:val="28"/>
        </w:rPr>
      </w:pPr>
      <w:r>
        <w:rPr>
          <w:rFonts w:ascii="华文仿宋" w:eastAsia="华文仿宋" w:hAnsi="华文仿宋" w:cs="仿宋" w:hint="eastAsia"/>
          <w:kern w:val="0"/>
          <w:sz w:val="28"/>
          <w:szCs w:val="28"/>
        </w:rPr>
        <w:t xml:space="preserve">  </w:t>
      </w:r>
    </w:p>
    <w:tbl>
      <w:tblPr>
        <w:tblW w:w="7788" w:type="dxa"/>
        <w:tblInd w:w="534" w:type="dxa"/>
        <w:tblLook w:val="04A0" w:firstRow="1" w:lastRow="0" w:firstColumn="1" w:lastColumn="0" w:noHBand="0" w:noVBand="1"/>
      </w:tblPr>
      <w:tblGrid>
        <w:gridCol w:w="2300"/>
        <w:gridCol w:w="2744"/>
        <w:gridCol w:w="2744"/>
      </w:tblGrid>
      <w:tr w:rsidR="008674C9" w:rsidRPr="008674C9" w:rsidTr="00F4097D">
        <w:trPr>
          <w:trHeight w:val="440"/>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4C9" w:rsidRPr="008674C9" w:rsidRDefault="008674C9" w:rsidP="008674C9">
            <w:pPr>
              <w:widowControl/>
              <w:jc w:val="lef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 xml:space="preserve">　</w:t>
            </w:r>
          </w:p>
        </w:tc>
        <w:tc>
          <w:tcPr>
            <w:tcW w:w="2744" w:type="dxa"/>
            <w:tcBorders>
              <w:top w:val="single" w:sz="4" w:space="0" w:color="auto"/>
              <w:left w:val="nil"/>
              <w:bottom w:val="single" w:sz="4" w:space="0" w:color="auto"/>
              <w:right w:val="single" w:sz="4" w:space="0" w:color="auto"/>
            </w:tcBorders>
            <w:shd w:val="clear" w:color="auto" w:fill="auto"/>
            <w:noWrap/>
            <w:vAlign w:val="center"/>
            <w:hideMark/>
          </w:tcPr>
          <w:p w:rsidR="008674C9" w:rsidRPr="008674C9" w:rsidRDefault="008674C9" w:rsidP="008674C9">
            <w:pPr>
              <w:widowControl/>
              <w:jc w:val="lef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产值增长率</w:t>
            </w:r>
          </w:p>
        </w:tc>
        <w:tc>
          <w:tcPr>
            <w:tcW w:w="2744" w:type="dxa"/>
            <w:tcBorders>
              <w:top w:val="single" w:sz="4" w:space="0" w:color="auto"/>
              <w:left w:val="nil"/>
              <w:bottom w:val="single" w:sz="4" w:space="0" w:color="auto"/>
              <w:right w:val="single" w:sz="4" w:space="0" w:color="auto"/>
            </w:tcBorders>
            <w:shd w:val="clear" w:color="auto" w:fill="auto"/>
            <w:noWrap/>
            <w:vAlign w:val="center"/>
            <w:hideMark/>
          </w:tcPr>
          <w:p w:rsidR="008674C9" w:rsidRPr="008674C9" w:rsidRDefault="008674C9" w:rsidP="008674C9">
            <w:pPr>
              <w:widowControl/>
              <w:jc w:val="lef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利润增长率</w:t>
            </w:r>
          </w:p>
        </w:tc>
      </w:tr>
      <w:tr w:rsidR="008674C9" w:rsidRPr="008674C9" w:rsidTr="00F4097D">
        <w:trPr>
          <w:trHeight w:val="4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8674C9" w:rsidRPr="008674C9" w:rsidRDefault="008674C9" w:rsidP="008674C9">
            <w:pPr>
              <w:widowControl/>
              <w:jc w:val="lef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东北地区</w:t>
            </w:r>
          </w:p>
        </w:tc>
        <w:tc>
          <w:tcPr>
            <w:tcW w:w="2744" w:type="dxa"/>
            <w:tcBorders>
              <w:top w:val="nil"/>
              <w:left w:val="nil"/>
              <w:bottom w:val="single" w:sz="4" w:space="0" w:color="auto"/>
              <w:right w:val="single" w:sz="4" w:space="0" w:color="auto"/>
            </w:tcBorders>
            <w:shd w:val="clear" w:color="auto" w:fill="auto"/>
            <w:noWrap/>
            <w:vAlign w:val="center"/>
            <w:hideMark/>
          </w:tcPr>
          <w:p w:rsidR="008674C9" w:rsidRPr="008674C9" w:rsidRDefault="008674C9" w:rsidP="008674C9">
            <w:pPr>
              <w:widowControl/>
              <w:jc w:val="righ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-3.04%</w:t>
            </w:r>
          </w:p>
        </w:tc>
        <w:tc>
          <w:tcPr>
            <w:tcW w:w="2744" w:type="dxa"/>
            <w:tcBorders>
              <w:top w:val="nil"/>
              <w:left w:val="nil"/>
              <w:bottom w:val="single" w:sz="4" w:space="0" w:color="auto"/>
              <w:right w:val="single" w:sz="4" w:space="0" w:color="auto"/>
            </w:tcBorders>
            <w:shd w:val="clear" w:color="auto" w:fill="auto"/>
            <w:noWrap/>
            <w:vAlign w:val="center"/>
            <w:hideMark/>
          </w:tcPr>
          <w:p w:rsidR="008674C9" w:rsidRPr="008674C9" w:rsidRDefault="008674C9" w:rsidP="008674C9">
            <w:pPr>
              <w:widowControl/>
              <w:jc w:val="righ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-26.44%</w:t>
            </w:r>
          </w:p>
        </w:tc>
      </w:tr>
      <w:tr w:rsidR="008674C9" w:rsidRPr="008674C9" w:rsidTr="00F4097D">
        <w:trPr>
          <w:trHeight w:val="4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8674C9" w:rsidRPr="008674C9" w:rsidRDefault="008674C9" w:rsidP="008674C9">
            <w:pPr>
              <w:widowControl/>
              <w:jc w:val="lef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华北地区</w:t>
            </w:r>
          </w:p>
        </w:tc>
        <w:tc>
          <w:tcPr>
            <w:tcW w:w="2744" w:type="dxa"/>
            <w:tcBorders>
              <w:top w:val="nil"/>
              <w:left w:val="nil"/>
              <w:bottom w:val="single" w:sz="4" w:space="0" w:color="auto"/>
              <w:right w:val="single" w:sz="4" w:space="0" w:color="auto"/>
            </w:tcBorders>
            <w:shd w:val="clear" w:color="auto" w:fill="auto"/>
            <w:noWrap/>
            <w:vAlign w:val="center"/>
            <w:hideMark/>
          </w:tcPr>
          <w:p w:rsidR="008674C9" w:rsidRPr="008674C9" w:rsidRDefault="008674C9" w:rsidP="008674C9">
            <w:pPr>
              <w:widowControl/>
              <w:jc w:val="righ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0.53%</w:t>
            </w:r>
          </w:p>
        </w:tc>
        <w:tc>
          <w:tcPr>
            <w:tcW w:w="2744" w:type="dxa"/>
            <w:tcBorders>
              <w:top w:val="nil"/>
              <w:left w:val="nil"/>
              <w:bottom w:val="single" w:sz="4" w:space="0" w:color="auto"/>
              <w:right w:val="single" w:sz="4" w:space="0" w:color="auto"/>
            </w:tcBorders>
            <w:shd w:val="clear" w:color="auto" w:fill="auto"/>
            <w:noWrap/>
            <w:vAlign w:val="center"/>
            <w:hideMark/>
          </w:tcPr>
          <w:p w:rsidR="008674C9" w:rsidRPr="008674C9" w:rsidRDefault="008674C9" w:rsidP="008674C9">
            <w:pPr>
              <w:widowControl/>
              <w:jc w:val="righ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0.31%</w:t>
            </w:r>
          </w:p>
        </w:tc>
      </w:tr>
      <w:tr w:rsidR="008674C9" w:rsidRPr="008674C9" w:rsidTr="00F4097D">
        <w:trPr>
          <w:trHeight w:val="4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8674C9" w:rsidRPr="008674C9" w:rsidRDefault="008674C9" w:rsidP="008674C9">
            <w:pPr>
              <w:widowControl/>
              <w:jc w:val="lef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华东地区</w:t>
            </w:r>
          </w:p>
        </w:tc>
        <w:tc>
          <w:tcPr>
            <w:tcW w:w="2744" w:type="dxa"/>
            <w:tcBorders>
              <w:top w:val="nil"/>
              <w:left w:val="nil"/>
              <w:bottom w:val="single" w:sz="4" w:space="0" w:color="auto"/>
              <w:right w:val="single" w:sz="4" w:space="0" w:color="auto"/>
            </w:tcBorders>
            <w:shd w:val="clear" w:color="auto" w:fill="auto"/>
            <w:noWrap/>
            <w:vAlign w:val="center"/>
            <w:hideMark/>
          </w:tcPr>
          <w:p w:rsidR="008674C9" w:rsidRPr="008674C9" w:rsidRDefault="008674C9" w:rsidP="008674C9">
            <w:pPr>
              <w:widowControl/>
              <w:jc w:val="righ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2.14%</w:t>
            </w:r>
          </w:p>
        </w:tc>
        <w:tc>
          <w:tcPr>
            <w:tcW w:w="2744" w:type="dxa"/>
            <w:tcBorders>
              <w:top w:val="nil"/>
              <w:left w:val="nil"/>
              <w:bottom w:val="single" w:sz="4" w:space="0" w:color="auto"/>
              <w:right w:val="single" w:sz="4" w:space="0" w:color="auto"/>
            </w:tcBorders>
            <w:shd w:val="clear" w:color="auto" w:fill="auto"/>
            <w:noWrap/>
            <w:vAlign w:val="center"/>
            <w:hideMark/>
          </w:tcPr>
          <w:p w:rsidR="008674C9" w:rsidRPr="008674C9" w:rsidRDefault="008674C9" w:rsidP="008674C9">
            <w:pPr>
              <w:widowControl/>
              <w:jc w:val="righ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-0.60%</w:t>
            </w:r>
          </w:p>
        </w:tc>
      </w:tr>
      <w:tr w:rsidR="008674C9" w:rsidRPr="008674C9" w:rsidTr="00F4097D">
        <w:trPr>
          <w:trHeight w:val="4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8674C9" w:rsidRPr="008674C9" w:rsidRDefault="008674C9" w:rsidP="008674C9">
            <w:pPr>
              <w:widowControl/>
              <w:jc w:val="lef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华南地区</w:t>
            </w:r>
          </w:p>
        </w:tc>
        <w:tc>
          <w:tcPr>
            <w:tcW w:w="2744" w:type="dxa"/>
            <w:tcBorders>
              <w:top w:val="nil"/>
              <w:left w:val="nil"/>
              <w:bottom w:val="single" w:sz="4" w:space="0" w:color="auto"/>
              <w:right w:val="single" w:sz="4" w:space="0" w:color="auto"/>
            </w:tcBorders>
            <w:shd w:val="clear" w:color="auto" w:fill="auto"/>
            <w:noWrap/>
            <w:vAlign w:val="center"/>
            <w:hideMark/>
          </w:tcPr>
          <w:p w:rsidR="008674C9" w:rsidRPr="008674C9" w:rsidRDefault="008674C9" w:rsidP="008674C9">
            <w:pPr>
              <w:widowControl/>
              <w:jc w:val="righ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8.07%</w:t>
            </w:r>
          </w:p>
        </w:tc>
        <w:tc>
          <w:tcPr>
            <w:tcW w:w="2744" w:type="dxa"/>
            <w:tcBorders>
              <w:top w:val="nil"/>
              <w:left w:val="nil"/>
              <w:bottom w:val="single" w:sz="4" w:space="0" w:color="auto"/>
              <w:right w:val="single" w:sz="4" w:space="0" w:color="auto"/>
            </w:tcBorders>
            <w:shd w:val="clear" w:color="auto" w:fill="auto"/>
            <w:noWrap/>
            <w:vAlign w:val="center"/>
            <w:hideMark/>
          </w:tcPr>
          <w:p w:rsidR="008674C9" w:rsidRPr="008674C9" w:rsidRDefault="008674C9" w:rsidP="008674C9">
            <w:pPr>
              <w:widowControl/>
              <w:jc w:val="righ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-9.92%</w:t>
            </w:r>
          </w:p>
        </w:tc>
      </w:tr>
      <w:tr w:rsidR="008674C9" w:rsidRPr="008674C9" w:rsidTr="00F4097D">
        <w:trPr>
          <w:trHeight w:val="4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8674C9" w:rsidRPr="008674C9" w:rsidRDefault="008674C9" w:rsidP="008674C9">
            <w:pPr>
              <w:widowControl/>
              <w:jc w:val="lef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华中地区</w:t>
            </w:r>
          </w:p>
        </w:tc>
        <w:tc>
          <w:tcPr>
            <w:tcW w:w="2744" w:type="dxa"/>
            <w:tcBorders>
              <w:top w:val="nil"/>
              <w:left w:val="nil"/>
              <w:bottom w:val="single" w:sz="4" w:space="0" w:color="auto"/>
              <w:right w:val="single" w:sz="4" w:space="0" w:color="auto"/>
            </w:tcBorders>
            <w:shd w:val="clear" w:color="auto" w:fill="auto"/>
            <w:noWrap/>
            <w:vAlign w:val="center"/>
            <w:hideMark/>
          </w:tcPr>
          <w:p w:rsidR="008674C9" w:rsidRPr="008674C9" w:rsidRDefault="008674C9" w:rsidP="008674C9">
            <w:pPr>
              <w:widowControl/>
              <w:jc w:val="righ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12.55%</w:t>
            </w:r>
          </w:p>
        </w:tc>
        <w:tc>
          <w:tcPr>
            <w:tcW w:w="2744" w:type="dxa"/>
            <w:tcBorders>
              <w:top w:val="nil"/>
              <w:left w:val="nil"/>
              <w:bottom w:val="single" w:sz="4" w:space="0" w:color="auto"/>
              <w:right w:val="single" w:sz="4" w:space="0" w:color="auto"/>
            </w:tcBorders>
            <w:shd w:val="clear" w:color="auto" w:fill="auto"/>
            <w:noWrap/>
            <w:vAlign w:val="center"/>
            <w:hideMark/>
          </w:tcPr>
          <w:p w:rsidR="008674C9" w:rsidRPr="008674C9" w:rsidRDefault="008674C9" w:rsidP="008674C9">
            <w:pPr>
              <w:widowControl/>
              <w:jc w:val="righ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24.67%</w:t>
            </w:r>
          </w:p>
        </w:tc>
      </w:tr>
      <w:tr w:rsidR="008674C9" w:rsidRPr="008674C9" w:rsidTr="00F4097D">
        <w:trPr>
          <w:trHeight w:val="4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8674C9" w:rsidRPr="008674C9" w:rsidRDefault="008674C9" w:rsidP="008674C9">
            <w:pPr>
              <w:widowControl/>
              <w:jc w:val="lef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西北地区</w:t>
            </w:r>
          </w:p>
        </w:tc>
        <w:tc>
          <w:tcPr>
            <w:tcW w:w="2744" w:type="dxa"/>
            <w:tcBorders>
              <w:top w:val="nil"/>
              <w:left w:val="nil"/>
              <w:bottom w:val="single" w:sz="4" w:space="0" w:color="auto"/>
              <w:right w:val="single" w:sz="4" w:space="0" w:color="auto"/>
            </w:tcBorders>
            <w:shd w:val="clear" w:color="auto" w:fill="auto"/>
            <w:noWrap/>
            <w:vAlign w:val="center"/>
            <w:hideMark/>
          </w:tcPr>
          <w:p w:rsidR="008674C9" w:rsidRPr="008674C9" w:rsidRDefault="008674C9" w:rsidP="008674C9">
            <w:pPr>
              <w:widowControl/>
              <w:jc w:val="righ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5.95%</w:t>
            </w:r>
          </w:p>
        </w:tc>
        <w:tc>
          <w:tcPr>
            <w:tcW w:w="2744" w:type="dxa"/>
            <w:tcBorders>
              <w:top w:val="nil"/>
              <w:left w:val="nil"/>
              <w:bottom w:val="single" w:sz="4" w:space="0" w:color="auto"/>
              <w:right w:val="single" w:sz="4" w:space="0" w:color="auto"/>
            </w:tcBorders>
            <w:shd w:val="clear" w:color="auto" w:fill="auto"/>
            <w:noWrap/>
            <w:vAlign w:val="center"/>
            <w:hideMark/>
          </w:tcPr>
          <w:p w:rsidR="008674C9" w:rsidRPr="008674C9" w:rsidRDefault="008674C9" w:rsidP="008674C9">
            <w:pPr>
              <w:widowControl/>
              <w:jc w:val="righ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-5.78%</w:t>
            </w:r>
          </w:p>
        </w:tc>
      </w:tr>
      <w:tr w:rsidR="008674C9" w:rsidRPr="008674C9" w:rsidTr="00F4097D">
        <w:trPr>
          <w:trHeight w:val="4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8674C9" w:rsidRPr="008674C9" w:rsidRDefault="008674C9" w:rsidP="008674C9">
            <w:pPr>
              <w:widowControl/>
              <w:jc w:val="lef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西南地区</w:t>
            </w:r>
          </w:p>
        </w:tc>
        <w:tc>
          <w:tcPr>
            <w:tcW w:w="2744" w:type="dxa"/>
            <w:tcBorders>
              <w:top w:val="nil"/>
              <w:left w:val="nil"/>
              <w:bottom w:val="single" w:sz="4" w:space="0" w:color="auto"/>
              <w:right w:val="single" w:sz="4" w:space="0" w:color="auto"/>
            </w:tcBorders>
            <w:shd w:val="clear" w:color="auto" w:fill="auto"/>
            <w:noWrap/>
            <w:vAlign w:val="center"/>
            <w:hideMark/>
          </w:tcPr>
          <w:p w:rsidR="008674C9" w:rsidRPr="008674C9" w:rsidRDefault="008674C9" w:rsidP="008674C9">
            <w:pPr>
              <w:widowControl/>
              <w:jc w:val="righ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4.35%</w:t>
            </w:r>
          </w:p>
        </w:tc>
        <w:tc>
          <w:tcPr>
            <w:tcW w:w="2744" w:type="dxa"/>
            <w:tcBorders>
              <w:top w:val="nil"/>
              <w:left w:val="nil"/>
              <w:bottom w:val="single" w:sz="4" w:space="0" w:color="auto"/>
              <w:right w:val="single" w:sz="4" w:space="0" w:color="auto"/>
            </w:tcBorders>
            <w:shd w:val="clear" w:color="auto" w:fill="auto"/>
            <w:noWrap/>
            <w:vAlign w:val="center"/>
            <w:hideMark/>
          </w:tcPr>
          <w:p w:rsidR="008674C9" w:rsidRPr="008674C9" w:rsidRDefault="008674C9" w:rsidP="008674C9">
            <w:pPr>
              <w:widowControl/>
              <w:jc w:val="right"/>
              <w:rPr>
                <w:rFonts w:ascii="宋体" w:eastAsia="宋体" w:hAnsi="宋体" w:cs="宋体"/>
                <w:color w:val="000000" w:themeColor="text1"/>
                <w:kern w:val="0"/>
                <w:sz w:val="24"/>
              </w:rPr>
            </w:pPr>
            <w:r w:rsidRPr="008674C9">
              <w:rPr>
                <w:rFonts w:ascii="宋体" w:eastAsia="宋体" w:hAnsi="宋体" w:cs="宋体" w:hint="eastAsia"/>
                <w:color w:val="000000" w:themeColor="text1"/>
                <w:kern w:val="0"/>
                <w:sz w:val="24"/>
              </w:rPr>
              <w:t>-16.87%</w:t>
            </w:r>
          </w:p>
        </w:tc>
      </w:tr>
    </w:tbl>
    <w:p w:rsidR="00363C01" w:rsidRDefault="008674C9" w:rsidP="00044181">
      <w:pPr>
        <w:ind w:firstLineChars="200" w:firstLine="560"/>
        <w:rPr>
          <w:rFonts w:ascii="黑体" w:eastAsia="黑体" w:hAnsi="黑体" w:cs="仿宋"/>
          <w:kern w:val="0"/>
          <w:sz w:val="24"/>
          <w:szCs w:val="28"/>
        </w:rPr>
      </w:pPr>
      <w:r>
        <w:rPr>
          <w:rFonts w:ascii="仿宋_GB2312" w:eastAsia="仿宋_GB2312" w:hAnsi="仿宋" w:cs="仿宋" w:hint="eastAsia"/>
          <w:color w:val="000000" w:themeColor="text1"/>
          <w:kern w:val="0"/>
          <w:sz w:val="28"/>
          <w:szCs w:val="28"/>
        </w:rPr>
        <w:t xml:space="preserve">         </w:t>
      </w:r>
      <w:r w:rsidR="00A90A5B">
        <w:rPr>
          <w:rFonts w:ascii="仿宋_GB2312" w:eastAsia="仿宋_GB2312" w:hAnsi="仿宋" w:cs="仿宋" w:hint="eastAsia"/>
          <w:color w:val="000000" w:themeColor="text1"/>
          <w:kern w:val="0"/>
          <w:sz w:val="28"/>
          <w:szCs w:val="28"/>
        </w:rPr>
        <w:t xml:space="preserve">   </w:t>
      </w:r>
      <w:r w:rsidRPr="00A90A5B">
        <w:rPr>
          <w:rFonts w:ascii="黑体" w:eastAsia="黑体" w:hAnsi="黑体" w:cs="仿宋" w:hint="eastAsia"/>
          <w:kern w:val="0"/>
          <w:sz w:val="24"/>
          <w:szCs w:val="28"/>
        </w:rPr>
        <w:t>表1：划分区域内产值增长率及利润增长率</w:t>
      </w:r>
    </w:p>
    <w:p w:rsidR="003852D7" w:rsidRPr="00A90A5B" w:rsidRDefault="003852D7" w:rsidP="003852D7">
      <w:pPr>
        <w:ind w:firstLineChars="200" w:firstLine="560"/>
        <w:rPr>
          <w:rFonts w:ascii="黑体" w:eastAsia="黑体" w:hAnsi="黑体" w:cs="仿宋"/>
          <w:color w:val="000000" w:themeColor="text1"/>
          <w:kern w:val="0"/>
          <w:sz w:val="28"/>
          <w:szCs w:val="28"/>
        </w:rPr>
      </w:pPr>
    </w:p>
    <w:p w:rsidR="00363C01" w:rsidRPr="00F63701" w:rsidRDefault="006B2EF2" w:rsidP="006B2EF2">
      <w:pPr>
        <w:ind w:firstLineChars="200" w:firstLine="420"/>
        <w:rPr>
          <w:rFonts w:ascii="仿宋_GB2312" w:eastAsia="仿宋_GB2312" w:hAnsi="仿宋" w:cs="仿宋"/>
          <w:kern w:val="0"/>
          <w:sz w:val="28"/>
          <w:szCs w:val="28"/>
        </w:rPr>
      </w:pPr>
      <w:r>
        <w:rPr>
          <w:noProof/>
        </w:rPr>
        <w:drawing>
          <wp:inline distT="0" distB="0" distL="0" distR="0" wp14:anchorId="473170F6" wp14:editId="3E392F8B">
            <wp:extent cx="5274310" cy="3020519"/>
            <wp:effectExtent l="0" t="0" r="2540" b="889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0A5B" w:rsidRDefault="00A90A5B" w:rsidP="00044181">
      <w:pPr>
        <w:ind w:firstLineChars="200" w:firstLine="560"/>
        <w:rPr>
          <w:rFonts w:ascii="黑体" w:eastAsia="黑体" w:hAnsi="黑体" w:cs="仿宋"/>
          <w:kern w:val="0"/>
          <w:sz w:val="24"/>
          <w:szCs w:val="28"/>
        </w:rPr>
      </w:pPr>
      <w:r>
        <w:rPr>
          <w:rFonts w:ascii="仿宋_GB2312" w:eastAsia="仿宋_GB2312" w:hAnsi="仿宋" w:cs="仿宋" w:hint="eastAsia"/>
          <w:kern w:val="0"/>
          <w:sz w:val="28"/>
          <w:szCs w:val="28"/>
        </w:rPr>
        <w:t xml:space="preserve">             </w:t>
      </w:r>
      <w:r w:rsidRPr="00A90A5B">
        <w:rPr>
          <w:rFonts w:ascii="黑体" w:eastAsia="黑体" w:hAnsi="黑体" w:cs="仿宋" w:hint="eastAsia"/>
          <w:kern w:val="0"/>
          <w:sz w:val="24"/>
          <w:szCs w:val="28"/>
        </w:rPr>
        <w:t>图2：产值增长率及利润增长率变化图表</w:t>
      </w:r>
    </w:p>
    <w:p w:rsidR="003852D7" w:rsidRPr="00A90A5B" w:rsidRDefault="003852D7" w:rsidP="003852D7">
      <w:pPr>
        <w:ind w:firstLineChars="200" w:firstLine="560"/>
        <w:rPr>
          <w:rFonts w:ascii="黑体" w:eastAsia="黑体" w:hAnsi="黑体" w:cs="仿宋"/>
          <w:kern w:val="0"/>
          <w:sz w:val="28"/>
          <w:szCs w:val="28"/>
        </w:rPr>
      </w:pPr>
    </w:p>
    <w:p w:rsidR="005C498A" w:rsidRDefault="005C498A" w:rsidP="00044181">
      <w:pPr>
        <w:ind w:firstLineChars="200" w:firstLine="560"/>
        <w:rPr>
          <w:rFonts w:ascii="仿宋_GB2312" w:eastAsia="仿宋_GB2312" w:hAnsi="仿宋" w:cs="仿宋"/>
          <w:kern w:val="0"/>
          <w:sz w:val="28"/>
          <w:szCs w:val="28"/>
        </w:rPr>
      </w:pPr>
    </w:p>
    <w:p w:rsidR="005C498A" w:rsidRDefault="005C498A" w:rsidP="00044181">
      <w:pPr>
        <w:ind w:firstLineChars="200" w:firstLine="560"/>
        <w:rPr>
          <w:rFonts w:ascii="仿宋_GB2312" w:eastAsia="仿宋_GB2312" w:hAnsi="仿宋" w:cs="仿宋"/>
          <w:kern w:val="0"/>
          <w:sz w:val="28"/>
          <w:szCs w:val="28"/>
        </w:rPr>
      </w:pPr>
    </w:p>
    <w:p w:rsidR="005C498A" w:rsidRDefault="005C498A" w:rsidP="00044181">
      <w:pPr>
        <w:ind w:firstLineChars="200" w:firstLine="560"/>
        <w:rPr>
          <w:rFonts w:ascii="仿宋_GB2312" w:eastAsia="仿宋_GB2312" w:hAnsi="仿宋" w:cs="仿宋"/>
          <w:kern w:val="0"/>
          <w:sz w:val="28"/>
          <w:szCs w:val="28"/>
        </w:rPr>
      </w:pPr>
    </w:p>
    <w:p w:rsidR="005C498A" w:rsidRDefault="005C498A" w:rsidP="00044181">
      <w:pPr>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lastRenderedPageBreak/>
        <w:t>（二）资质划分企业经营数据</w:t>
      </w:r>
    </w:p>
    <w:p w:rsidR="006078D4" w:rsidRDefault="006078D4" w:rsidP="00044181">
      <w:pPr>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在所抽取的296家企业中，一级资质占比最多，共计155家，特级资质企业45家</w:t>
      </w:r>
      <w:r w:rsidR="00F4097D">
        <w:rPr>
          <w:rFonts w:ascii="仿宋_GB2312" w:eastAsia="仿宋_GB2312" w:hAnsi="仿宋" w:cs="仿宋" w:hint="eastAsia"/>
          <w:kern w:val="0"/>
          <w:sz w:val="28"/>
          <w:szCs w:val="28"/>
        </w:rPr>
        <w:t>。如图3所示为抽样企业的资质比例分布。</w:t>
      </w:r>
    </w:p>
    <w:p w:rsidR="00F4097D" w:rsidRDefault="00F4097D" w:rsidP="00F4097D">
      <w:pPr>
        <w:ind w:firstLineChars="200" w:firstLine="420"/>
        <w:rPr>
          <w:rFonts w:ascii="仿宋_GB2312" w:eastAsia="仿宋_GB2312" w:hAnsi="仿宋" w:cs="仿宋"/>
          <w:kern w:val="0"/>
          <w:sz w:val="28"/>
          <w:szCs w:val="28"/>
        </w:rPr>
      </w:pPr>
      <w:r>
        <w:rPr>
          <w:noProof/>
        </w:rPr>
        <w:drawing>
          <wp:inline distT="0" distB="0" distL="0" distR="0" wp14:anchorId="5501CA4E" wp14:editId="61A6A21E">
            <wp:extent cx="4572000" cy="24003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097D" w:rsidRDefault="00F4097D" w:rsidP="00F4097D">
      <w:pPr>
        <w:ind w:firstLineChars="200" w:firstLine="560"/>
        <w:rPr>
          <w:rFonts w:ascii="黑体" w:eastAsia="黑体" w:hAnsi="黑体" w:cs="仿宋"/>
          <w:kern w:val="0"/>
          <w:sz w:val="24"/>
          <w:szCs w:val="28"/>
        </w:rPr>
      </w:pPr>
      <w:r>
        <w:rPr>
          <w:rFonts w:ascii="仿宋_GB2312" w:eastAsia="仿宋_GB2312" w:hAnsi="仿宋" w:cs="仿宋" w:hint="eastAsia"/>
          <w:kern w:val="0"/>
          <w:sz w:val="28"/>
          <w:szCs w:val="28"/>
        </w:rPr>
        <w:t xml:space="preserve">        </w:t>
      </w:r>
      <w:r w:rsidRPr="00F4097D">
        <w:rPr>
          <w:rFonts w:ascii="黑体" w:eastAsia="黑体" w:hAnsi="黑体" w:cs="仿宋" w:hint="eastAsia"/>
          <w:kern w:val="0"/>
          <w:sz w:val="24"/>
          <w:szCs w:val="28"/>
        </w:rPr>
        <w:t>图3：抽样企业不同资质企业数量比例分布</w:t>
      </w:r>
    </w:p>
    <w:p w:rsidR="00F4097D" w:rsidRDefault="00F4097D" w:rsidP="00F4097D">
      <w:pPr>
        <w:ind w:firstLineChars="200" w:firstLine="480"/>
        <w:rPr>
          <w:rFonts w:ascii="黑体" w:eastAsia="黑体" w:hAnsi="黑体" w:cs="仿宋"/>
          <w:kern w:val="0"/>
          <w:sz w:val="24"/>
          <w:szCs w:val="28"/>
        </w:rPr>
      </w:pPr>
    </w:p>
    <w:p w:rsidR="006C73CA" w:rsidRDefault="006C73CA" w:rsidP="005C498A">
      <w:pPr>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拥有特级及一级资质的企业则大部分分布在华北、华东地区。其中，华东地区的特级、一级资质企业最多，特级企业达到27家，一级企业达到69家，拥有其他资质等级企业数量也达到了33家。而东北、西北地区的特级及一级资质企业数量最少。</w:t>
      </w:r>
    </w:p>
    <w:p w:rsidR="006C73CA" w:rsidRDefault="006C73CA" w:rsidP="006C73CA">
      <w:pPr>
        <w:ind w:firstLineChars="200" w:firstLine="420"/>
        <w:rPr>
          <w:rFonts w:ascii="仿宋_GB2312" w:eastAsia="仿宋_GB2312" w:hAnsi="仿宋" w:cs="仿宋"/>
          <w:kern w:val="0"/>
          <w:sz w:val="28"/>
          <w:szCs w:val="28"/>
        </w:rPr>
      </w:pPr>
      <w:r>
        <w:rPr>
          <w:noProof/>
        </w:rPr>
        <w:drawing>
          <wp:inline distT="0" distB="0" distL="0" distR="0" wp14:anchorId="111708F7" wp14:editId="40DB6AF8">
            <wp:extent cx="5200650" cy="251460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3D14" w:rsidRDefault="00883D14" w:rsidP="00AE67AE">
      <w:pPr>
        <w:ind w:firstLineChars="700" w:firstLine="1680"/>
        <w:rPr>
          <w:rFonts w:ascii="仿宋_GB2312" w:eastAsia="仿宋_GB2312" w:hAnsi="仿宋" w:cs="仿宋"/>
          <w:kern w:val="0"/>
          <w:sz w:val="28"/>
          <w:szCs w:val="28"/>
        </w:rPr>
      </w:pPr>
      <w:r w:rsidRPr="00F4097D">
        <w:rPr>
          <w:rFonts w:ascii="黑体" w:eastAsia="黑体" w:hAnsi="黑体" w:cs="仿宋" w:hint="eastAsia"/>
          <w:kern w:val="0"/>
          <w:sz w:val="24"/>
          <w:szCs w:val="28"/>
        </w:rPr>
        <w:t>图</w:t>
      </w:r>
      <w:r>
        <w:rPr>
          <w:rFonts w:ascii="黑体" w:eastAsia="黑体" w:hAnsi="黑体" w:cs="仿宋" w:hint="eastAsia"/>
          <w:kern w:val="0"/>
          <w:sz w:val="24"/>
          <w:szCs w:val="28"/>
        </w:rPr>
        <w:t>4</w:t>
      </w:r>
      <w:r w:rsidRPr="00F4097D">
        <w:rPr>
          <w:rFonts w:ascii="黑体" w:eastAsia="黑体" w:hAnsi="黑体" w:cs="仿宋" w:hint="eastAsia"/>
          <w:kern w:val="0"/>
          <w:sz w:val="24"/>
          <w:szCs w:val="28"/>
        </w:rPr>
        <w:t>：</w:t>
      </w:r>
      <w:r>
        <w:rPr>
          <w:rFonts w:ascii="黑体" w:eastAsia="黑体" w:hAnsi="黑体" w:cs="仿宋" w:hint="eastAsia"/>
          <w:kern w:val="0"/>
          <w:sz w:val="24"/>
          <w:szCs w:val="28"/>
        </w:rPr>
        <w:t>各地区不同资质等级企业分布图</w:t>
      </w:r>
    </w:p>
    <w:p w:rsidR="00883D14" w:rsidRDefault="00883D14" w:rsidP="005C498A">
      <w:pPr>
        <w:ind w:firstLineChars="200" w:firstLine="560"/>
        <w:rPr>
          <w:rFonts w:ascii="仿宋_GB2312" w:eastAsia="仿宋_GB2312" w:hAnsi="仿宋" w:cs="仿宋"/>
          <w:kern w:val="0"/>
          <w:sz w:val="28"/>
          <w:szCs w:val="28"/>
        </w:rPr>
      </w:pPr>
    </w:p>
    <w:p w:rsidR="00F4097D" w:rsidRPr="005C498A" w:rsidRDefault="00F4097D" w:rsidP="005C498A">
      <w:pPr>
        <w:ind w:firstLineChars="200" w:firstLine="560"/>
        <w:rPr>
          <w:rFonts w:ascii="仿宋_GB2312" w:eastAsia="仿宋_GB2312" w:hAnsi="仿宋" w:cs="仿宋"/>
          <w:kern w:val="0"/>
          <w:sz w:val="28"/>
          <w:szCs w:val="28"/>
        </w:rPr>
      </w:pPr>
      <w:r w:rsidRPr="005C498A">
        <w:rPr>
          <w:rFonts w:ascii="仿宋_GB2312" w:eastAsia="仿宋_GB2312" w:hAnsi="仿宋" w:cs="仿宋" w:hint="eastAsia"/>
          <w:kern w:val="0"/>
          <w:sz w:val="28"/>
          <w:szCs w:val="28"/>
        </w:rPr>
        <w:lastRenderedPageBreak/>
        <w:t>通过计算，得出不同资质企业的产值增长率和利润增长率（图</w:t>
      </w:r>
      <w:r w:rsidR="00883D14">
        <w:rPr>
          <w:rFonts w:ascii="仿宋_GB2312" w:eastAsia="仿宋_GB2312" w:hAnsi="仿宋" w:cs="仿宋" w:hint="eastAsia"/>
          <w:kern w:val="0"/>
          <w:sz w:val="28"/>
          <w:szCs w:val="28"/>
        </w:rPr>
        <w:t>5</w:t>
      </w:r>
      <w:r w:rsidRPr="005C498A">
        <w:rPr>
          <w:rFonts w:ascii="仿宋_GB2312" w:eastAsia="仿宋_GB2312" w:hAnsi="仿宋" w:cs="仿宋" w:hint="eastAsia"/>
          <w:kern w:val="0"/>
          <w:sz w:val="28"/>
          <w:szCs w:val="28"/>
        </w:rPr>
        <w:t>），可以看出，特级资质企业的产值和利润都呈现出正向增长</w:t>
      </w:r>
      <w:r w:rsidR="005C498A">
        <w:rPr>
          <w:rFonts w:ascii="仿宋_GB2312" w:eastAsia="仿宋_GB2312" w:hAnsi="仿宋" w:cs="仿宋" w:hint="eastAsia"/>
          <w:kern w:val="0"/>
          <w:sz w:val="28"/>
          <w:szCs w:val="28"/>
        </w:rPr>
        <w:t>，虽然产值增长率并不高，仅为0.48%，但利润则同比增长了3.94个百分点。</w:t>
      </w:r>
      <w:r w:rsidRPr="005C498A">
        <w:rPr>
          <w:rFonts w:ascii="仿宋_GB2312" w:eastAsia="仿宋_GB2312" w:hAnsi="仿宋" w:cs="仿宋" w:hint="eastAsia"/>
          <w:kern w:val="0"/>
          <w:sz w:val="28"/>
          <w:szCs w:val="28"/>
        </w:rPr>
        <w:t>一级资质企业和其他资质企业虽然产值与去年同期相比仍在在增加，</w:t>
      </w:r>
      <w:r w:rsidR="005C498A">
        <w:rPr>
          <w:rFonts w:ascii="仿宋_GB2312" w:eastAsia="仿宋_GB2312" w:hAnsi="仿宋" w:cs="仿宋" w:hint="eastAsia"/>
          <w:kern w:val="0"/>
          <w:sz w:val="28"/>
          <w:szCs w:val="28"/>
        </w:rPr>
        <w:t>尤其其他资质企业，产值同比增长6.59个百分点，</w:t>
      </w:r>
      <w:r w:rsidRPr="005C498A">
        <w:rPr>
          <w:rFonts w:ascii="仿宋_GB2312" w:eastAsia="仿宋_GB2312" w:hAnsi="仿宋" w:cs="仿宋" w:hint="eastAsia"/>
          <w:kern w:val="0"/>
          <w:sz w:val="28"/>
          <w:szCs w:val="28"/>
        </w:rPr>
        <w:t>是所得利润却大幅度下降。新常态下，</w:t>
      </w:r>
      <w:r w:rsidR="005C498A" w:rsidRPr="005C498A">
        <w:rPr>
          <w:rFonts w:ascii="仿宋_GB2312" w:eastAsia="仿宋_GB2312" w:hAnsi="仿宋" w:cs="仿宋" w:hint="eastAsia"/>
          <w:kern w:val="0"/>
          <w:sz w:val="28"/>
          <w:szCs w:val="28"/>
        </w:rPr>
        <w:t>不断的扩充产值</w:t>
      </w:r>
      <w:r w:rsidRPr="005C498A">
        <w:rPr>
          <w:rFonts w:ascii="仿宋_GB2312" w:eastAsia="仿宋_GB2312" w:hAnsi="仿宋" w:cs="仿宋" w:hint="eastAsia"/>
          <w:kern w:val="0"/>
          <w:sz w:val="28"/>
          <w:szCs w:val="28"/>
        </w:rPr>
        <w:t>并没有给企业带来丰厚的利润回报</w:t>
      </w:r>
      <w:r w:rsidR="005C498A" w:rsidRPr="005C498A">
        <w:rPr>
          <w:rFonts w:ascii="仿宋_GB2312" w:eastAsia="仿宋_GB2312" w:hAnsi="仿宋" w:cs="仿宋" w:hint="eastAsia"/>
          <w:kern w:val="0"/>
          <w:sz w:val="28"/>
          <w:szCs w:val="28"/>
        </w:rPr>
        <w:t>。</w:t>
      </w:r>
    </w:p>
    <w:p w:rsidR="00F4097D" w:rsidRDefault="00F4097D" w:rsidP="005C498A">
      <w:pPr>
        <w:ind w:firstLineChars="200" w:firstLine="420"/>
        <w:rPr>
          <w:rFonts w:ascii="仿宋_GB2312" w:eastAsia="仿宋_GB2312" w:hAnsi="仿宋" w:cs="仿宋"/>
          <w:kern w:val="0"/>
          <w:sz w:val="28"/>
          <w:szCs w:val="28"/>
        </w:rPr>
      </w:pPr>
      <w:r>
        <w:rPr>
          <w:noProof/>
        </w:rPr>
        <w:drawing>
          <wp:inline distT="0" distB="0" distL="0" distR="0" wp14:anchorId="2402A1CA" wp14:editId="14057796">
            <wp:extent cx="5057775" cy="234315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498A" w:rsidRDefault="005C498A" w:rsidP="005C498A">
      <w:pPr>
        <w:ind w:firstLineChars="800" w:firstLine="1920"/>
        <w:rPr>
          <w:rFonts w:ascii="黑体" w:eastAsia="黑体" w:hAnsi="黑体" w:cs="仿宋"/>
          <w:kern w:val="0"/>
          <w:sz w:val="24"/>
          <w:szCs w:val="28"/>
        </w:rPr>
      </w:pPr>
      <w:r w:rsidRPr="00F4097D">
        <w:rPr>
          <w:rFonts w:ascii="黑体" w:eastAsia="黑体" w:hAnsi="黑体" w:cs="仿宋" w:hint="eastAsia"/>
          <w:kern w:val="0"/>
          <w:sz w:val="24"/>
          <w:szCs w:val="28"/>
        </w:rPr>
        <w:t>图</w:t>
      </w:r>
      <w:r>
        <w:rPr>
          <w:rFonts w:ascii="黑体" w:eastAsia="黑体" w:hAnsi="黑体" w:cs="仿宋" w:hint="eastAsia"/>
          <w:kern w:val="0"/>
          <w:sz w:val="24"/>
          <w:szCs w:val="28"/>
        </w:rPr>
        <w:t>4</w:t>
      </w:r>
      <w:r w:rsidRPr="00F4097D">
        <w:rPr>
          <w:rFonts w:ascii="黑体" w:eastAsia="黑体" w:hAnsi="黑体" w:cs="仿宋" w:hint="eastAsia"/>
          <w:kern w:val="0"/>
          <w:sz w:val="24"/>
          <w:szCs w:val="28"/>
        </w:rPr>
        <w:t>：</w:t>
      </w:r>
      <w:r>
        <w:rPr>
          <w:rFonts w:ascii="黑体" w:eastAsia="黑体" w:hAnsi="黑体" w:cs="仿宋" w:hint="eastAsia"/>
          <w:kern w:val="0"/>
          <w:sz w:val="24"/>
          <w:szCs w:val="28"/>
        </w:rPr>
        <w:t>不同资质企业产值及利润增产率变化图表</w:t>
      </w:r>
    </w:p>
    <w:p w:rsidR="005C498A" w:rsidRPr="005C498A" w:rsidRDefault="005C498A" w:rsidP="005C498A">
      <w:pPr>
        <w:ind w:firstLineChars="200" w:firstLine="560"/>
        <w:rPr>
          <w:rFonts w:ascii="仿宋_GB2312" w:eastAsia="仿宋_GB2312" w:hAnsi="仿宋" w:cs="仿宋"/>
          <w:kern w:val="0"/>
          <w:sz w:val="28"/>
          <w:szCs w:val="28"/>
        </w:rPr>
      </w:pPr>
    </w:p>
    <w:p w:rsidR="00363C01" w:rsidRPr="00F63701" w:rsidRDefault="002843A8" w:rsidP="00044181">
      <w:pPr>
        <w:ind w:firstLineChars="200" w:firstLine="560"/>
        <w:rPr>
          <w:rFonts w:ascii="仿宋_GB2312" w:eastAsia="仿宋_GB2312" w:hAnsi="仿宋" w:cs="仿宋"/>
          <w:kern w:val="0"/>
          <w:sz w:val="28"/>
          <w:szCs w:val="28"/>
        </w:rPr>
      </w:pPr>
      <w:r w:rsidRPr="00F63701">
        <w:rPr>
          <w:rFonts w:ascii="仿宋_GB2312" w:eastAsia="仿宋_GB2312" w:hAnsi="仿宋" w:cs="仿宋" w:hint="eastAsia"/>
          <w:kern w:val="0"/>
          <w:sz w:val="28"/>
          <w:szCs w:val="28"/>
        </w:rPr>
        <w:t>二</w:t>
      </w:r>
      <w:r w:rsidR="00AB454A" w:rsidRPr="00F63701">
        <w:rPr>
          <w:rFonts w:ascii="仿宋_GB2312" w:eastAsia="仿宋_GB2312" w:hAnsi="仿宋" w:cs="仿宋" w:hint="eastAsia"/>
          <w:kern w:val="0"/>
          <w:sz w:val="28"/>
          <w:szCs w:val="28"/>
        </w:rPr>
        <w:t>、</w:t>
      </w:r>
      <w:r w:rsidRPr="00F63701">
        <w:rPr>
          <w:rFonts w:ascii="仿宋_GB2312" w:eastAsia="仿宋_GB2312" w:hAnsi="仿宋" w:cs="仿宋" w:hint="eastAsia"/>
          <w:kern w:val="0"/>
          <w:sz w:val="28"/>
          <w:szCs w:val="28"/>
        </w:rPr>
        <w:t>协会</w:t>
      </w:r>
      <w:r w:rsidR="00AB454A" w:rsidRPr="00F63701">
        <w:rPr>
          <w:rFonts w:ascii="仿宋_GB2312" w:eastAsia="仿宋_GB2312" w:hAnsi="仿宋" w:cs="仿宋" w:hint="eastAsia"/>
          <w:kern w:val="0"/>
          <w:sz w:val="28"/>
          <w:szCs w:val="28"/>
        </w:rPr>
        <w:t>副会长单位</w:t>
      </w:r>
      <w:r w:rsidRPr="00F63701">
        <w:rPr>
          <w:rFonts w:ascii="仿宋_GB2312" w:eastAsia="仿宋_GB2312" w:hAnsi="仿宋" w:cs="仿宋" w:hint="eastAsia"/>
          <w:kern w:val="0"/>
          <w:sz w:val="28"/>
          <w:szCs w:val="28"/>
        </w:rPr>
        <w:t>2015年度</w:t>
      </w:r>
      <w:r w:rsidR="00AB454A" w:rsidRPr="00F63701">
        <w:rPr>
          <w:rFonts w:ascii="仿宋_GB2312" w:eastAsia="仿宋_GB2312" w:hAnsi="仿宋" w:cs="仿宋" w:hint="eastAsia"/>
          <w:kern w:val="0"/>
          <w:sz w:val="28"/>
          <w:szCs w:val="28"/>
        </w:rPr>
        <w:t>经营</w:t>
      </w:r>
      <w:r w:rsidRPr="00F63701">
        <w:rPr>
          <w:rFonts w:ascii="仿宋_GB2312" w:eastAsia="仿宋_GB2312" w:hAnsi="仿宋" w:cs="仿宋" w:hint="eastAsia"/>
          <w:kern w:val="0"/>
          <w:sz w:val="28"/>
          <w:szCs w:val="28"/>
        </w:rPr>
        <w:t>情况</w:t>
      </w:r>
    </w:p>
    <w:p w:rsidR="002843A8" w:rsidRDefault="009C53D1" w:rsidP="009C53D1">
      <w:pPr>
        <w:ind w:firstLineChars="200" w:firstLine="560"/>
        <w:rPr>
          <w:rFonts w:ascii="仿宋_GB2312" w:eastAsia="仿宋_GB2312" w:hAnsi="仿宋" w:cs="仿宋"/>
          <w:kern w:val="0"/>
          <w:sz w:val="28"/>
          <w:szCs w:val="28"/>
        </w:rPr>
      </w:pPr>
      <w:r>
        <w:rPr>
          <w:rFonts w:ascii="仿宋_GB2312" w:eastAsia="仿宋_GB2312" w:hAnsi="仿宋" w:cs="仿宋"/>
          <w:kern w:val="0"/>
          <w:sz w:val="28"/>
          <w:szCs w:val="28"/>
        </w:rPr>
        <w:t>在抽样的</w:t>
      </w:r>
      <w:r>
        <w:rPr>
          <w:rFonts w:ascii="仿宋_GB2312" w:eastAsia="仿宋_GB2312" w:hAnsi="仿宋" w:cs="仿宋" w:hint="eastAsia"/>
          <w:kern w:val="0"/>
          <w:sz w:val="28"/>
          <w:szCs w:val="28"/>
        </w:rPr>
        <w:t>9家副会长单位中得到统计数据，2015年总产值同比上涨2.52个百分点，新签合同额</w:t>
      </w:r>
      <w:proofErr w:type="gramStart"/>
      <w:r>
        <w:rPr>
          <w:rFonts w:ascii="仿宋_GB2312" w:eastAsia="仿宋_GB2312" w:hAnsi="仿宋" w:cs="仿宋" w:hint="eastAsia"/>
          <w:kern w:val="0"/>
          <w:sz w:val="28"/>
          <w:szCs w:val="28"/>
        </w:rPr>
        <w:t>境内额</w:t>
      </w:r>
      <w:proofErr w:type="gramEnd"/>
      <w:r>
        <w:rPr>
          <w:rFonts w:ascii="仿宋_GB2312" w:eastAsia="仿宋_GB2312" w:hAnsi="仿宋" w:cs="仿宋" w:hint="eastAsia"/>
          <w:kern w:val="0"/>
          <w:sz w:val="28"/>
          <w:szCs w:val="28"/>
        </w:rPr>
        <w:t>增长率同比下降2.6个百分点，新签合同额</w:t>
      </w:r>
      <w:proofErr w:type="gramStart"/>
      <w:r>
        <w:rPr>
          <w:rFonts w:ascii="仿宋_GB2312" w:eastAsia="仿宋_GB2312" w:hAnsi="仿宋" w:cs="仿宋" w:hint="eastAsia"/>
          <w:kern w:val="0"/>
          <w:sz w:val="28"/>
          <w:szCs w:val="28"/>
        </w:rPr>
        <w:t>境外额</w:t>
      </w:r>
      <w:proofErr w:type="gramEnd"/>
      <w:r>
        <w:rPr>
          <w:rFonts w:ascii="仿宋_GB2312" w:eastAsia="仿宋_GB2312" w:hAnsi="仿宋" w:cs="仿宋" w:hint="eastAsia"/>
          <w:kern w:val="0"/>
          <w:sz w:val="28"/>
          <w:szCs w:val="28"/>
        </w:rPr>
        <w:t>同比上涨26.93个百分点；2015年净利润同比上涨7.06个百分点</w:t>
      </w:r>
    </w:p>
    <w:p w:rsidR="003852D7" w:rsidRDefault="003852D7" w:rsidP="009C53D1">
      <w:pPr>
        <w:ind w:firstLineChars="200" w:firstLine="560"/>
        <w:rPr>
          <w:rFonts w:ascii="仿宋_GB2312" w:eastAsia="仿宋_GB2312" w:hAnsi="仿宋" w:cs="仿宋"/>
          <w:kern w:val="0"/>
          <w:sz w:val="28"/>
          <w:szCs w:val="28"/>
        </w:rPr>
      </w:pPr>
    </w:p>
    <w:p w:rsidR="00883D14" w:rsidRDefault="00883D14" w:rsidP="009C53D1">
      <w:pPr>
        <w:ind w:firstLineChars="200" w:firstLine="560"/>
        <w:rPr>
          <w:rFonts w:ascii="仿宋_GB2312" w:eastAsia="仿宋_GB2312" w:hAnsi="仿宋" w:cs="仿宋"/>
          <w:kern w:val="0"/>
          <w:sz w:val="28"/>
          <w:szCs w:val="28"/>
        </w:rPr>
      </w:pPr>
    </w:p>
    <w:p w:rsidR="00883D14" w:rsidRPr="00F63701" w:rsidRDefault="00883D14" w:rsidP="009C53D1">
      <w:pPr>
        <w:ind w:firstLineChars="200" w:firstLine="560"/>
        <w:rPr>
          <w:rFonts w:ascii="仿宋_GB2312" w:eastAsia="仿宋_GB2312" w:hAnsi="仿宋" w:cs="仿宋"/>
          <w:kern w:val="0"/>
          <w:sz w:val="28"/>
          <w:szCs w:val="28"/>
        </w:rPr>
      </w:pPr>
    </w:p>
    <w:p w:rsidR="00363C01" w:rsidRPr="00F63701" w:rsidRDefault="002843A8" w:rsidP="00044181">
      <w:pPr>
        <w:ind w:firstLineChars="200" w:firstLine="560"/>
        <w:rPr>
          <w:rFonts w:ascii="仿宋_GB2312" w:eastAsia="仿宋_GB2312" w:hAnsi="仿宋" w:cs="仿宋"/>
          <w:kern w:val="0"/>
          <w:sz w:val="28"/>
          <w:szCs w:val="28"/>
        </w:rPr>
      </w:pPr>
      <w:r w:rsidRPr="00F63701">
        <w:rPr>
          <w:rFonts w:ascii="仿宋_GB2312" w:eastAsia="仿宋_GB2312" w:hAnsi="仿宋" w:cs="仿宋" w:hint="eastAsia"/>
          <w:kern w:val="0"/>
          <w:sz w:val="28"/>
          <w:szCs w:val="28"/>
        </w:rPr>
        <w:lastRenderedPageBreak/>
        <w:t>三</w:t>
      </w:r>
      <w:r w:rsidR="00AB454A" w:rsidRPr="00F63701">
        <w:rPr>
          <w:rFonts w:ascii="仿宋_GB2312" w:eastAsia="仿宋_GB2312" w:hAnsi="仿宋" w:cs="仿宋" w:hint="eastAsia"/>
          <w:kern w:val="0"/>
          <w:sz w:val="28"/>
          <w:szCs w:val="28"/>
        </w:rPr>
        <w:t>、</w:t>
      </w:r>
      <w:r w:rsidRPr="00F63701">
        <w:rPr>
          <w:rFonts w:ascii="仿宋_GB2312" w:eastAsia="仿宋_GB2312" w:hAnsi="仿宋" w:cs="仿宋" w:hint="eastAsia"/>
          <w:kern w:val="0"/>
          <w:sz w:val="28"/>
          <w:szCs w:val="28"/>
        </w:rPr>
        <w:t>抽样</w:t>
      </w:r>
      <w:r w:rsidR="00AB454A" w:rsidRPr="00F63701">
        <w:rPr>
          <w:rFonts w:ascii="仿宋_GB2312" w:eastAsia="仿宋_GB2312" w:hAnsi="仿宋" w:cs="仿宋" w:hint="eastAsia"/>
          <w:kern w:val="0"/>
          <w:sz w:val="28"/>
          <w:szCs w:val="28"/>
        </w:rPr>
        <w:t>省市</w:t>
      </w:r>
      <w:r w:rsidR="00DB13D8" w:rsidRPr="00F63701">
        <w:rPr>
          <w:rFonts w:ascii="仿宋_GB2312" w:eastAsia="仿宋_GB2312" w:hAnsi="仿宋" w:cs="仿宋" w:hint="eastAsia"/>
          <w:kern w:val="0"/>
          <w:sz w:val="28"/>
          <w:szCs w:val="28"/>
        </w:rPr>
        <w:t>建筑业</w:t>
      </w:r>
      <w:r w:rsidRPr="00F63701">
        <w:rPr>
          <w:rFonts w:ascii="仿宋_GB2312" w:eastAsia="仿宋_GB2312" w:hAnsi="仿宋" w:cs="仿宋" w:hint="eastAsia"/>
          <w:kern w:val="0"/>
          <w:sz w:val="28"/>
          <w:szCs w:val="28"/>
        </w:rPr>
        <w:t>企业2015年度</w:t>
      </w:r>
      <w:r w:rsidR="00AB454A" w:rsidRPr="00F63701">
        <w:rPr>
          <w:rFonts w:ascii="仿宋_GB2312" w:eastAsia="仿宋_GB2312" w:hAnsi="仿宋" w:cs="仿宋" w:hint="eastAsia"/>
          <w:kern w:val="0"/>
          <w:sz w:val="28"/>
          <w:szCs w:val="28"/>
        </w:rPr>
        <w:t>经营</w:t>
      </w:r>
      <w:r w:rsidRPr="00F63701">
        <w:rPr>
          <w:rFonts w:ascii="仿宋_GB2312" w:eastAsia="仿宋_GB2312" w:hAnsi="仿宋" w:cs="仿宋" w:hint="eastAsia"/>
          <w:kern w:val="0"/>
          <w:sz w:val="28"/>
          <w:szCs w:val="28"/>
        </w:rPr>
        <w:t>情况</w:t>
      </w:r>
    </w:p>
    <w:p w:rsidR="00363C01" w:rsidRPr="00F63701" w:rsidRDefault="002843A8" w:rsidP="00044181">
      <w:pPr>
        <w:ind w:firstLineChars="200" w:firstLine="562"/>
        <w:rPr>
          <w:rFonts w:ascii="仿宋_GB2312" w:eastAsia="仿宋_GB2312" w:hAnsi="仿宋" w:cs="仿宋"/>
          <w:kern w:val="0"/>
          <w:sz w:val="28"/>
          <w:szCs w:val="28"/>
        </w:rPr>
      </w:pPr>
      <w:r w:rsidRPr="00F63701">
        <w:rPr>
          <w:rFonts w:ascii="仿宋_GB2312" w:eastAsia="仿宋_GB2312" w:hAnsi="仿宋" w:cs="仿宋" w:hint="eastAsia"/>
          <w:b/>
          <w:bCs/>
          <w:kern w:val="0"/>
          <w:sz w:val="28"/>
          <w:szCs w:val="28"/>
        </w:rPr>
        <w:t>（一）</w:t>
      </w:r>
      <w:r w:rsidR="00AB454A" w:rsidRPr="00F63701">
        <w:rPr>
          <w:rFonts w:ascii="仿宋_GB2312" w:eastAsia="仿宋_GB2312" w:hAnsi="仿宋" w:cs="仿宋" w:hint="eastAsia"/>
          <w:b/>
          <w:bCs/>
          <w:kern w:val="0"/>
          <w:sz w:val="28"/>
          <w:szCs w:val="28"/>
        </w:rPr>
        <w:t>广东省</w:t>
      </w:r>
    </w:p>
    <w:p w:rsidR="008D6DA1" w:rsidRPr="00F63701" w:rsidRDefault="008D6DA1" w:rsidP="00887DE2">
      <w:pPr>
        <w:ind w:firstLineChars="200" w:firstLine="562"/>
        <w:rPr>
          <w:rFonts w:ascii="仿宋_GB2312" w:eastAsia="仿宋_GB2312" w:hAnsi="仿宋" w:cs="仿宋"/>
          <w:b/>
          <w:kern w:val="0"/>
          <w:sz w:val="28"/>
          <w:szCs w:val="28"/>
        </w:rPr>
      </w:pPr>
      <w:r w:rsidRPr="00F63701">
        <w:rPr>
          <w:rFonts w:ascii="仿宋_GB2312" w:eastAsia="仿宋_GB2312" w:hAnsi="仿宋" w:cs="仿宋" w:hint="eastAsia"/>
          <w:b/>
          <w:kern w:val="0"/>
          <w:sz w:val="28"/>
          <w:szCs w:val="28"/>
        </w:rPr>
        <w:t>1、</w:t>
      </w:r>
      <w:r w:rsidR="00887DE2" w:rsidRPr="00F63701">
        <w:rPr>
          <w:rFonts w:ascii="仿宋_GB2312" w:eastAsia="仿宋_GB2312" w:hAnsi="仿宋" w:cs="仿宋" w:hint="eastAsia"/>
          <w:b/>
          <w:kern w:val="0"/>
          <w:sz w:val="28"/>
          <w:szCs w:val="28"/>
        </w:rPr>
        <w:t>企业</w:t>
      </w:r>
      <w:r w:rsidRPr="00F63701">
        <w:rPr>
          <w:rFonts w:ascii="仿宋_GB2312" w:eastAsia="仿宋_GB2312" w:hAnsi="仿宋" w:cs="仿宋" w:hint="eastAsia"/>
          <w:b/>
          <w:kern w:val="0"/>
          <w:sz w:val="28"/>
          <w:szCs w:val="28"/>
        </w:rPr>
        <w:t>经营</w:t>
      </w:r>
      <w:r w:rsidR="00CF5A6D" w:rsidRPr="00F63701">
        <w:rPr>
          <w:rFonts w:ascii="仿宋_GB2312" w:eastAsia="仿宋_GB2312" w:hAnsi="仿宋" w:cs="仿宋" w:hint="eastAsia"/>
          <w:b/>
          <w:kern w:val="0"/>
          <w:sz w:val="28"/>
          <w:szCs w:val="28"/>
        </w:rPr>
        <w:t>情况</w:t>
      </w:r>
    </w:p>
    <w:p w:rsidR="00363C01" w:rsidRPr="00F63701" w:rsidRDefault="00AB454A" w:rsidP="00044181">
      <w:pPr>
        <w:ind w:firstLineChars="200" w:firstLine="560"/>
        <w:rPr>
          <w:rFonts w:ascii="仿宋_GB2312" w:eastAsia="仿宋_GB2312" w:hAnsi="仿宋" w:cs="仿宋"/>
          <w:kern w:val="0"/>
          <w:sz w:val="28"/>
          <w:szCs w:val="28"/>
        </w:rPr>
      </w:pPr>
      <w:r w:rsidRPr="00F63701">
        <w:rPr>
          <w:rFonts w:ascii="仿宋_GB2312" w:eastAsia="仿宋_GB2312" w:hAnsi="仿宋" w:cs="仿宋" w:hint="eastAsia"/>
          <w:kern w:val="0"/>
          <w:sz w:val="28"/>
          <w:szCs w:val="28"/>
        </w:rPr>
        <w:t>截至2015年底，广东省建筑业企业达到4714家，同比下降1%；建筑业总产值8865.68亿元，同比增长6.1%；新签订的合同额10211.77亿元，同比增长3.7%；房屋建筑施工面积50461.59万方米，</w:t>
      </w:r>
      <w:r w:rsidR="00542785" w:rsidRPr="00F63701">
        <w:rPr>
          <w:rFonts w:ascii="仿宋_GB2312" w:eastAsia="仿宋_GB2312" w:hAnsi="仿宋" w:cs="仿宋" w:hint="eastAsia"/>
          <w:kern w:val="0"/>
          <w:sz w:val="28"/>
          <w:szCs w:val="28"/>
        </w:rPr>
        <w:t>同比</w:t>
      </w:r>
      <w:r w:rsidRPr="00F63701">
        <w:rPr>
          <w:rFonts w:ascii="仿宋_GB2312" w:eastAsia="仿宋_GB2312" w:hAnsi="仿宋" w:cs="仿宋" w:hint="eastAsia"/>
          <w:kern w:val="0"/>
          <w:sz w:val="28"/>
          <w:szCs w:val="28"/>
        </w:rPr>
        <w:t>下降5.6%；期末从业人数为168.58万人，同比下降2.5%</w:t>
      </w:r>
    </w:p>
    <w:p w:rsidR="00887DE2" w:rsidRPr="00F63701" w:rsidRDefault="00887DE2" w:rsidP="00887DE2">
      <w:pPr>
        <w:ind w:firstLineChars="200" w:firstLine="562"/>
        <w:rPr>
          <w:rFonts w:ascii="仿宋_GB2312" w:eastAsia="仿宋_GB2312" w:hAnsi="仿宋" w:cs="仿宋"/>
          <w:b/>
          <w:kern w:val="0"/>
          <w:sz w:val="28"/>
          <w:szCs w:val="28"/>
        </w:rPr>
      </w:pPr>
      <w:r w:rsidRPr="00F63701">
        <w:rPr>
          <w:rFonts w:ascii="仿宋_GB2312" w:eastAsia="仿宋_GB2312" w:hAnsi="仿宋" w:cs="仿宋" w:hint="eastAsia"/>
          <w:b/>
          <w:kern w:val="0"/>
          <w:sz w:val="28"/>
          <w:szCs w:val="28"/>
        </w:rPr>
        <w:t>2、</w:t>
      </w:r>
      <w:r w:rsidR="00A55DA7" w:rsidRPr="00F63701">
        <w:rPr>
          <w:rFonts w:ascii="仿宋_GB2312" w:eastAsia="仿宋_GB2312" w:hAnsi="仿宋" w:cs="仿宋" w:hint="eastAsia"/>
          <w:b/>
          <w:bCs/>
          <w:kern w:val="0"/>
          <w:sz w:val="28"/>
          <w:szCs w:val="28"/>
        </w:rPr>
        <w:t>行业发展</w:t>
      </w:r>
      <w:r w:rsidR="00DA4276" w:rsidRPr="00F63701">
        <w:rPr>
          <w:rFonts w:ascii="仿宋_GB2312" w:eastAsia="仿宋_GB2312" w:hAnsi="仿宋" w:cs="仿宋" w:hint="eastAsia"/>
          <w:b/>
          <w:bCs/>
          <w:kern w:val="0"/>
          <w:sz w:val="28"/>
          <w:szCs w:val="28"/>
        </w:rPr>
        <w:t>中</w:t>
      </w:r>
      <w:r w:rsidR="00A55DA7" w:rsidRPr="00F63701">
        <w:rPr>
          <w:rFonts w:ascii="仿宋_GB2312" w:eastAsia="仿宋_GB2312" w:hAnsi="仿宋" w:cs="仿宋" w:hint="eastAsia"/>
          <w:b/>
          <w:bCs/>
          <w:kern w:val="0"/>
          <w:sz w:val="28"/>
          <w:szCs w:val="28"/>
        </w:rPr>
        <w:t>存在的主要问题</w:t>
      </w:r>
    </w:p>
    <w:p w:rsidR="00A55DA7" w:rsidRPr="00F63701" w:rsidRDefault="00A55DA7" w:rsidP="00A55DA7">
      <w:pPr>
        <w:ind w:firstLineChars="200" w:firstLine="560"/>
        <w:rPr>
          <w:rFonts w:ascii="仿宋_GB2312" w:eastAsia="仿宋_GB2312" w:hAnsi="仿宋" w:cs="仿宋"/>
          <w:kern w:val="0"/>
          <w:sz w:val="28"/>
          <w:szCs w:val="28"/>
        </w:rPr>
      </w:pPr>
      <w:r w:rsidRPr="00F63701">
        <w:rPr>
          <w:rFonts w:ascii="仿宋_GB2312" w:eastAsia="仿宋_GB2312" w:hAnsi="仿宋" w:cs="仿宋" w:hint="eastAsia"/>
          <w:kern w:val="0"/>
          <w:sz w:val="28"/>
          <w:szCs w:val="28"/>
        </w:rPr>
        <w:t>省内建筑行业发展仍不适应现代经济社会发展的需要。城乡规划对新型城镇化发展的统筹引领作用需要加强，区域发展不平衡、建设方式粗放、工业化、信息化、标准化水平偏低，管理手段落后；建造资源耗费量大，碳排放量突出；多数企业科技研发投入较低，缺少核心技术，专利和专有技术拥有数量少；缺乏科技领军人物和高素质的复合型人才，一线从业人员技术水平</w:t>
      </w:r>
      <w:proofErr w:type="gramStart"/>
      <w:r w:rsidRPr="00F63701">
        <w:rPr>
          <w:rFonts w:ascii="仿宋_GB2312" w:eastAsia="仿宋_GB2312" w:hAnsi="仿宋" w:cs="仿宋" w:hint="eastAsia"/>
          <w:kern w:val="0"/>
          <w:sz w:val="28"/>
          <w:szCs w:val="28"/>
        </w:rPr>
        <w:t>不</w:t>
      </w:r>
      <w:proofErr w:type="gramEnd"/>
      <w:r w:rsidRPr="00F63701">
        <w:rPr>
          <w:rFonts w:ascii="仿宋_GB2312" w:eastAsia="仿宋_GB2312" w:hAnsi="仿宋" w:cs="仿宋" w:hint="eastAsia"/>
          <w:kern w:val="0"/>
          <w:sz w:val="28"/>
          <w:szCs w:val="28"/>
        </w:rPr>
        <w:t>高等问题。</w:t>
      </w:r>
    </w:p>
    <w:p w:rsidR="00363C01" w:rsidRPr="00F63701" w:rsidRDefault="00542785" w:rsidP="00044181">
      <w:pPr>
        <w:ind w:firstLineChars="200" w:firstLine="562"/>
        <w:rPr>
          <w:rFonts w:ascii="仿宋_GB2312" w:eastAsia="仿宋_GB2312" w:hAnsi="仿宋" w:cs="仿宋"/>
          <w:kern w:val="0"/>
          <w:sz w:val="28"/>
          <w:szCs w:val="28"/>
        </w:rPr>
      </w:pPr>
      <w:r w:rsidRPr="00F63701">
        <w:rPr>
          <w:rFonts w:ascii="仿宋_GB2312" w:eastAsia="仿宋_GB2312" w:hAnsi="仿宋" w:cs="仿宋" w:hint="eastAsia"/>
          <w:b/>
          <w:bCs/>
          <w:kern w:val="0"/>
          <w:sz w:val="28"/>
          <w:szCs w:val="28"/>
        </w:rPr>
        <w:t>（二）</w:t>
      </w:r>
      <w:r w:rsidR="00AB454A" w:rsidRPr="00F63701">
        <w:rPr>
          <w:rFonts w:ascii="仿宋_GB2312" w:eastAsia="仿宋_GB2312" w:hAnsi="仿宋" w:cs="仿宋" w:hint="eastAsia"/>
          <w:b/>
          <w:bCs/>
          <w:kern w:val="0"/>
          <w:sz w:val="28"/>
          <w:szCs w:val="28"/>
        </w:rPr>
        <w:t>山西省</w:t>
      </w:r>
    </w:p>
    <w:p w:rsidR="00887DE2" w:rsidRPr="00F63701" w:rsidRDefault="00887DE2" w:rsidP="00887DE2">
      <w:pPr>
        <w:ind w:firstLineChars="200" w:firstLine="562"/>
        <w:rPr>
          <w:rFonts w:ascii="仿宋_GB2312" w:eastAsia="仿宋_GB2312" w:hAnsi="仿宋" w:cs="仿宋"/>
          <w:b/>
          <w:kern w:val="0"/>
          <w:sz w:val="28"/>
          <w:szCs w:val="28"/>
        </w:rPr>
      </w:pPr>
      <w:r w:rsidRPr="00F63701">
        <w:rPr>
          <w:rFonts w:ascii="仿宋_GB2312" w:eastAsia="仿宋_GB2312" w:hAnsi="仿宋" w:cs="仿宋" w:hint="eastAsia"/>
          <w:b/>
          <w:kern w:val="0"/>
          <w:sz w:val="28"/>
          <w:szCs w:val="28"/>
        </w:rPr>
        <w:t>1、企业经营</w:t>
      </w:r>
      <w:r w:rsidR="00CF5A6D" w:rsidRPr="00F63701">
        <w:rPr>
          <w:rFonts w:ascii="仿宋_GB2312" w:eastAsia="仿宋_GB2312" w:hAnsi="仿宋" w:cs="仿宋" w:hint="eastAsia"/>
          <w:b/>
          <w:kern w:val="0"/>
          <w:sz w:val="28"/>
          <w:szCs w:val="28"/>
        </w:rPr>
        <w:t>情况</w:t>
      </w:r>
    </w:p>
    <w:p w:rsidR="00363C01" w:rsidRPr="00F63701" w:rsidRDefault="00AB454A" w:rsidP="00542785">
      <w:pPr>
        <w:ind w:firstLineChars="200" w:firstLine="560"/>
        <w:rPr>
          <w:rFonts w:ascii="仿宋_GB2312" w:eastAsia="仿宋_GB2312" w:hAnsi="仿宋" w:cs="仿宋"/>
          <w:color w:val="000000"/>
          <w:kern w:val="0"/>
          <w:sz w:val="28"/>
          <w:szCs w:val="28"/>
        </w:rPr>
      </w:pPr>
      <w:r w:rsidRPr="00F63701">
        <w:rPr>
          <w:rFonts w:ascii="仿宋_GB2312" w:eastAsia="仿宋_GB2312" w:hAnsi="仿宋" w:cs="仿宋" w:hint="eastAsia"/>
          <w:kern w:val="0"/>
          <w:sz w:val="28"/>
          <w:szCs w:val="28"/>
        </w:rPr>
        <w:t>2015</w:t>
      </w:r>
      <w:r w:rsidR="00542785" w:rsidRPr="00F63701">
        <w:rPr>
          <w:rFonts w:ascii="仿宋_GB2312" w:eastAsia="仿宋_GB2312" w:hAnsi="仿宋" w:cs="仿宋" w:hint="eastAsia"/>
          <w:kern w:val="0"/>
          <w:sz w:val="28"/>
          <w:szCs w:val="28"/>
        </w:rPr>
        <w:t>年</w:t>
      </w:r>
      <w:r w:rsidRPr="00F63701">
        <w:rPr>
          <w:rFonts w:ascii="仿宋_GB2312" w:eastAsia="仿宋_GB2312" w:hAnsi="仿宋" w:cs="仿宋" w:hint="eastAsia"/>
          <w:kern w:val="0"/>
          <w:sz w:val="28"/>
          <w:szCs w:val="28"/>
        </w:rPr>
        <w:t>山西省建筑业</w:t>
      </w:r>
      <w:r w:rsidR="00542785" w:rsidRPr="00F63701">
        <w:rPr>
          <w:rFonts w:ascii="仿宋_GB2312" w:eastAsia="仿宋_GB2312" w:hAnsi="仿宋" w:cs="仿宋" w:hint="eastAsia"/>
          <w:kern w:val="0"/>
          <w:sz w:val="28"/>
          <w:szCs w:val="28"/>
        </w:rPr>
        <w:t>企业完成</w:t>
      </w:r>
      <w:r w:rsidRPr="00F63701">
        <w:rPr>
          <w:rFonts w:ascii="仿宋_GB2312" w:eastAsia="仿宋_GB2312" w:hAnsi="仿宋" w:cs="仿宋" w:hint="eastAsia"/>
          <w:kern w:val="0"/>
          <w:sz w:val="28"/>
          <w:szCs w:val="28"/>
        </w:rPr>
        <w:t>产值</w:t>
      </w:r>
      <w:r w:rsidRPr="00F63701">
        <w:rPr>
          <w:rFonts w:ascii="仿宋_GB2312" w:eastAsia="仿宋_GB2312" w:hAnsi="仿宋" w:cs="仿宋" w:hint="eastAsia"/>
          <w:color w:val="000000"/>
          <w:kern w:val="0"/>
          <w:sz w:val="28"/>
          <w:szCs w:val="28"/>
        </w:rPr>
        <w:t>2931.3</w:t>
      </w:r>
      <w:r w:rsidRPr="00F63701">
        <w:rPr>
          <w:rFonts w:ascii="仿宋_GB2312" w:eastAsia="仿宋_GB2312" w:hAnsi="仿宋" w:cs="仿宋" w:hint="eastAsia"/>
          <w:kern w:val="0"/>
          <w:sz w:val="28"/>
          <w:szCs w:val="28"/>
        </w:rPr>
        <w:t>亿元，比上年同期减少172.2亿元，同比下降5.5%。</w:t>
      </w:r>
      <w:r w:rsidRPr="00F63701">
        <w:rPr>
          <w:rFonts w:ascii="仿宋_GB2312" w:eastAsia="仿宋_GB2312" w:hAnsi="仿宋" w:cs="仿宋" w:hint="eastAsia"/>
          <w:sz w:val="28"/>
          <w:szCs w:val="28"/>
        </w:rPr>
        <w:t>从省内外完成产值看，省内完成任务产值1887.3亿元，同比下降11.9%，占建筑业总产值比重为64.4%；省外完成产值1044亿元，同比增长8.7%，占建筑业总产值比重为35.6%</w:t>
      </w:r>
      <w:r w:rsidR="00542785" w:rsidRPr="00F63701">
        <w:rPr>
          <w:rFonts w:ascii="仿宋_GB2312" w:eastAsia="仿宋_GB2312" w:hAnsi="仿宋" w:cs="仿宋" w:hint="eastAsia"/>
          <w:sz w:val="28"/>
          <w:szCs w:val="28"/>
        </w:rPr>
        <w:t>；</w:t>
      </w:r>
      <w:r w:rsidRPr="00F63701">
        <w:rPr>
          <w:rFonts w:ascii="仿宋_GB2312" w:eastAsia="仿宋_GB2312" w:hAnsi="仿宋" w:cs="仿宋" w:hint="eastAsia"/>
          <w:sz w:val="28"/>
          <w:szCs w:val="28"/>
        </w:rPr>
        <w:t>全省有工作量的建筑业企业签订合同总额6333.0亿元，比上年同期增长337.5亿元，同比增长5.6%。其中，本年度新签合同额</w:t>
      </w:r>
      <w:r w:rsidRPr="00F63701">
        <w:rPr>
          <w:rFonts w:ascii="仿宋_GB2312" w:eastAsia="仿宋_GB2312" w:hAnsi="仿宋" w:cs="仿宋" w:hint="eastAsia"/>
          <w:sz w:val="28"/>
          <w:szCs w:val="28"/>
        </w:rPr>
        <w:lastRenderedPageBreak/>
        <w:t>3259.4亿元，比上年同期增加52亿元，同比增长1.6%</w:t>
      </w:r>
      <w:r w:rsidR="00542785" w:rsidRPr="00F63701">
        <w:rPr>
          <w:rFonts w:ascii="仿宋_GB2312" w:eastAsia="仿宋_GB2312" w:hAnsi="仿宋" w:cs="仿宋" w:hint="eastAsia"/>
          <w:sz w:val="28"/>
          <w:szCs w:val="28"/>
        </w:rPr>
        <w:t>；</w:t>
      </w:r>
      <w:r w:rsidRPr="00F63701">
        <w:rPr>
          <w:rFonts w:ascii="仿宋_GB2312" w:eastAsia="仿宋_GB2312" w:hAnsi="仿宋" w:cs="仿宋" w:hint="eastAsia"/>
          <w:sz w:val="28"/>
          <w:szCs w:val="28"/>
        </w:rPr>
        <w:t>全省建筑业企业主营业收入2915.8亿元，同比下降6.3%；利润总额84亿元，同比下降2.6%；</w:t>
      </w:r>
      <w:r w:rsidRPr="00F63701">
        <w:rPr>
          <w:rFonts w:ascii="仿宋_GB2312" w:eastAsia="仿宋_GB2312" w:hAnsi="仿宋" w:cs="仿宋" w:hint="eastAsia"/>
          <w:color w:val="000000"/>
          <w:kern w:val="0"/>
          <w:sz w:val="28"/>
          <w:szCs w:val="28"/>
        </w:rPr>
        <w:t>全省实现建筑业增加值 847.2亿元，同比增长5.2%，占全省GDP6.6%。</w:t>
      </w:r>
    </w:p>
    <w:p w:rsidR="00DA4276" w:rsidRPr="00F63701" w:rsidRDefault="00887DE2" w:rsidP="00DA4276">
      <w:pPr>
        <w:ind w:firstLineChars="200" w:firstLine="562"/>
        <w:rPr>
          <w:rFonts w:ascii="仿宋_GB2312" w:eastAsia="仿宋_GB2312" w:hAnsi="仿宋" w:cs="仿宋"/>
          <w:b/>
          <w:color w:val="000000"/>
          <w:kern w:val="0"/>
          <w:sz w:val="28"/>
          <w:szCs w:val="28"/>
        </w:rPr>
      </w:pPr>
      <w:r w:rsidRPr="00F63701">
        <w:rPr>
          <w:rFonts w:ascii="仿宋_GB2312" w:eastAsia="仿宋_GB2312" w:hAnsi="仿宋" w:cs="仿宋" w:hint="eastAsia"/>
          <w:b/>
          <w:color w:val="000000"/>
          <w:kern w:val="0"/>
          <w:sz w:val="28"/>
          <w:szCs w:val="28"/>
        </w:rPr>
        <w:t>2、</w:t>
      </w:r>
      <w:r w:rsidR="00DA4276" w:rsidRPr="00F63701">
        <w:rPr>
          <w:rFonts w:ascii="仿宋_GB2312" w:eastAsia="仿宋_GB2312" w:hAnsi="仿宋" w:cs="仿宋" w:hint="eastAsia"/>
          <w:b/>
          <w:bCs/>
          <w:kern w:val="0"/>
          <w:sz w:val="28"/>
          <w:szCs w:val="28"/>
        </w:rPr>
        <w:t>行业发展特点及存在主要问题</w:t>
      </w:r>
    </w:p>
    <w:p w:rsidR="00DA4276" w:rsidRPr="00F63701" w:rsidRDefault="00DA4276" w:rsidP="00DA4276">
      <w:pPr>
        <w:rPr>
          <w:rFonts w:ascii="仿宋_GB2312" w:eastAsia="仿宋_GB2312" w:hAnsi="仿宋" w:cs="仿宋"/>
          <w:sz w:val="28"/>
          <w:szCs w:val="28"/>
        </w:rPr>
      </w:pPr>
      <w:r w:rsidRPr="00F63701">
        <w:rPr>
          <w:rFonts w:ascii="仿宋_GB2312" w:eastAsia="仿宋_GB2312" w:hAnsi="仿宋" w:cs="仿宋" w:hint="eastAsia"/>
          <w:sz w:val="28"/>
          <w:szCs w:val="28"/>
        </w:rPr>
        <w:t xml:space="preserve">   </w:t>
      </w:r>
      <w:r w:rsidRPr="00F63701">
        <w:rPr>
          <w:rFonts w:ascii="仿宋_GB2312" w:eastAsia="仿宋_GB2312" w:hAnsi="仿宋" w:cs="仿宋" w:hint="eastAsia"/>
          <w:b/>
          <w:sz w:val="28"/>
          <w:szCs w:val="28"/>
        </w:rPr>
        <w:t>（1）建筑企业竞争力快速提高，施工规模逐年扩大。</w:t>
      </w:r>
      <w:r w:rsidRPr="00F63701">
        <w:rPr>
          <w:rFonts w:ascii="仿宋_GB2312" w:eastAsia="仿宋_GB2312" w:hAnsi="仿宋" w:cs="仿宋" w:hint="eastAsia"/>
          <w:sz w:val="28"/>
          <w:szCs w:val="28"/>
        </w:rPr>
        <w:t>在固定资产规模不断增长的拉动下，建筑业得到了快速的发展，施工规模逐年扩大。“十二五”全省完成建筑业总产值14046.8亿元，年均2809.4亿元。</w:t>
      </w:r>
    </w:p>
    <w:p w:rsidR="00DA4276" w:rsidRPr="00F63701" w:rsidRDefault="00DA4276" w:rsidP="00DA4276">
      <w:pPr>
        <w:ind w:firstLineChars="200" w:firstLine="562"/>
        <w:rPr>
          <w:rFonts w:ascii="仿宋_GB2312" w:eastAsia="仿宋_GB2312" w:hAnsi="仿宋" w:cs="仿宋"/>
          <w:sz w:val="28"/>
          <w:szCs w:val="28"/>
        </w:rPr>
      </w:pPr>
      <w:r w:rsidRPr="00F63701">
        <w:rPr>
          <w:rFonts w:ascii="仿宋_GB2312" w:eastAsia="仿宋_GB2312" w:hAnsi="仿宋" w:cs="仿宋" w:hint="eastAsia"/>
          <w:b/>
          <w:sz w:val="28"/>
          <w:szCs w:val="28"/>
        </w:rPr>
        <w:t>（2）对社会经济贡献份额不断增大，支柱产业地位日益提升。</w:t>
      </w:r>
      <w:r w:rsidRPr="00F63701">
        <w:rPr>
          <w:rFonts w:ascii="仿宋_GB2312" w:eastAsia="仿宋_GB2312" w:hAnsi="仿宋" w:cs="仿宋" w:hint="eastAsia"/>
          <w:sz w:val="28"/>
          <w:szCs w:val="28"/>
        </w:rPr>
        <w:t xml:space="preserve">“十二五”期间，全省建筑业累计实现全社会建筑业增加值2968.7亿元，年均742.2亿元，比“十一五”期间完成增加值年均增长90.4%， </w:t>
      </w:r>
    </w:p>
    <w:p w:rsidR="00DA4276" w:rsidRPr="00F63701" w:rsidRDefault="00DA4276" w:rsidP="00DA4276">
      <w:pPr>
        <w:ind w:firstLineChars="200" w:firstLine="562"/>
        <w:rPr>
          <w:rFonts w:ascii="仿宋_GB2312" w:eastAsia="仿宋_GB2312" w:hAnsi="仿宋" w:cs="仿宋"/>
          <w:sz w:val="28"/>
          <w:szCs w:val="28"/>
        </w:rPr>
      </w:pPr>
      <w:r w:rsidRPr="00F63701">
        <w:rPr>
          <w:rFonts w:ascii="仿宋_GB2312" w:eastAsia="仿宋_GB2312" w:hAnsi="仿宋" w:cs="仿宋" w:hint="eastAsia"/>
          <w:b/>
          <w:sz w:val="28"/>
          <w:szCs w:val="28"/>
        </w:rPr>
        <w:t>（3）科技创新能不断增强，技术水平显著提高。</w:t>
      </w:r>
      <w:r w:rsidRPr="00F63701">
        <w:rPr>
          <w:rFonts w:ascii="仿宋_GB2312" w:eastAsia="仿宋_GB2312" w:hAnsi="仿宋" w:cs="仿宋" w:hint="eastAsia"/>
          <w:sz w:val="28"/>
          <w:szCs w:val="28"/>
        </w:rPr>
        <w:t>“十二五”期间，全省建筑业科技进步和技术创新步伐明显加快，新技术、新材料、新工艺、新设备的推广和研发，使行业科技创新能力不断提升，科技研发成果明显增多，大大促进了建筑企业劳动生产力的大幅大幅度提高。2015年按施工产值计算的全员劳动生产率为32.7万元/人，同比增长9.9%。</w:t>
      </w:r>
    </w:p>
    <w:p w:rsidR="00DA4276" w:rsidRPr="00F63701" w:rsidRDefault="00DA4276" w:rsidP="00DA4276">
      <w:pPr>
        <w:ind w:firstLineChars="200" w:firstLine="562"/>
        <w:rPr>
          <w:rFonts w:ascii="仿宋_GB2312" w:eastAsia="仿宋_GB2312" w:hAnsi="仿宋" w:cs="仿宋"/>
          <w:sz w:val="28"/>
          <w:szCs w:val="28"/>
        </w:rPr>
      </w:pPr>
      <w:r w:rsidRPr="00F63701">
        <w:rPr>
          <w:rFonts w:ascii="仿宋_GB2312" w:eastAsia="仿宋_GB2312" w:hAnsi="仿宋" w:cs="仿宋" w:hint="eastAsia"/>
          <w:b/>
          <w:sz w:val="28"/>
          <w:szCs w:val="28"/>
        </w:rPr>
        <w:t>（4）建筑业总产值规模增速放缓。</w:t>
      </w:r>
      <w:r w:rsidRPr="00F63701">
        <w:rPr>
          <w:rFonts w:ascii="仿宋_GB2312" w:eastAsia="仿宋_GB2312" w:hAnsi="仿宋" w:cs="仿宋" w:hint="eastAsia"/>
          <w:sz w:val="28"/>
          <w:szCs w:val="28"/>
        </w:rPr>
        <w:t>受国内经济增速放缓，国家及地方拉动内需投资减少等因素影响，2015年全年完成</w:t>
      </w:r>
      <w:proofErr w:type="gramStart"/>
      <w:r w:rsidRPr="00F63701">
        <w:rPr>
          <w:rFonts w:ascii="仿宋_GB2312" w:eastAsia="仿宋_GB2312" w:hAnsi="仿宋" w:cs="仿宋" w:hint="eastAsia"/>
          <w:sz w:val="28"/>
          <w:szCs w:val="28"/>
        </w:rPr>
        <w:t>建筑总值</w:t>
      </w:r>
      <w:proofErr w:type="gramEnd"/>
      <w:r w:rsidRPr="00F63701">
        <w:rPr>
          <w:rFonts w:ascii="仿宋_GB2312" w:eastAsia="仿宋_GB2312" w:hAnsi="仿宋" w:cs="仿宋" w:hint="eastAsia"/>
          <w:sz w:val="28"/>
          <w:szCs w:val="28"/>
        </w:rPr>
        <w:t>同比下滑5.5个百分点。</w:t>
      </w:r>
    </w:p>
    <w:p w:rsidR="00DA4276" w:rsidRPr="00F63701" w:rsidRDefault="00165CEF" w:rsidP="00165CEF">
      <w:pPr>
        <w:ind w:firstLineChars="200" w:firstLine="562"/>
        <w:rPr>
          <w:rFonts w:ascii="仿宋_GB2312" w:eastAsia="仿宋_GB2312" w:hAnsi="仿宋" w:cs="仿宋"/>
          <w:sz w:val="28"/>
          <w:szCs w:val="28"/>
        </w:rPr>
      </w:pPr>
      <w:r w:rsidRPr="00F63701">
        <w:rPr>
          <w:rFonts w:ascii="仿宋_GB2312" w:eastAsia="仿宋_GB2312" w:hAnsi="仿宋" w:cs="仿宋" w:hint="eastAsia"/>
          <w:b/>
          <w:sz w:val="28"/>
          <w:szCs w:val="28"/>
        </w:rPr>
        <w:t>（</w:t>
      </w:r>
      <w:r w:rsidR="00DA4276" w:rsidRPr="00F63701">
        <w:rPr>
          <w:rFonts w:ascii="仿宋_GB2312" w:eastAsia="仿宋_GB2312" w:hAnsi="仿宋" w:cs="仿宋" w:hint="eastAsia"/>
          <w:b/>
          <w:sz w:val="28"/>
          <w:szCs w:val="28"/>
        </w:rPr>
        <w:t>5</w:t>
      </w:r>
      <w:r w:rsidRPr="00F63701">
        <w:rPr>
          <w:rFonts w:ascii="仿宋_GB2312" w:eastAsia="仿宋_GB2312" w:hAnsi="仿宋" w:cs="仿宋" w:hint="eastAsia"/>
          <w:b/>
          <w:sz w:val="28"/>
          <w:szCs w:val="28"/>
        </w:rPr>
        <w:t>）</w:t>
      </w:r>
      <w:r w:rsidR="00DA4276" w:rsidRPr="00F63701">
        <w:rPr>
          <w:rFonts w:ascii="仿宋_GB2312" w:eastAsia="仿宋_GB2312" w:hAnsi="仿宋" w:cs="仿宋" w:hint="eastAsia"/>
          <w:b/>
          <w:sz w:val="28"/>
          <w:szCs w:val="28"/>
        </w:rPr>
        <w:t>产值利润率有所下降。</w:t>
      </w:r>
      <w:r w:rsidR="00DA4276" w:rsidRPr="00F63701">
        <w:rPr>
          <w:rFonts w:ascii="仿宋_GB2312" w:eastAsia="仿宋_GB2312" w:hAnsi="仿宋" w:cs="仿宋" w:hint="eastAsia"/>
          <w:sz w:val="28"/>
          <w:szCs w:val="28"/>
        </w:rPr>
        <w:t>2015年全省建筑实现产值利润率</w:t>
      </w:r>
      <w:r w:rsidR="00DA4276" w:rsidRPr="00F63701">
        <w:rPr>
          <w:rFonts w:ascii="仿宋_GB2312" w:eastAsia="仿宋_GB2312" w:hAnsi="仿宋" w:cs="仿宋" w:hint="eastAsia"/>
          <w:sz w:val="28"/>
          <w:szCs w:val="28"/>
        </w:rPr>
        <w:lastRenderedPageBreak/>
        <w:t>2.88%，同比下降了0.02%。主要是受建筑业经济形势不佳，企业市场竞争压力增大，靠压低竞价承揽业务，导致产值利润率水平有所下降。</w:t>
      </w:r>
    </w:p>
    <w:p w:rsidR="00363C01" w:rsidRPr="00F63701" w:rsidRDefault="00542785">
      <w:pPr>
        <w:widowControl/>
        <w:shd w:val="clear" w:color="auto" w:fill="FFFFFF"/>
        <w:spacing w:line="520" w:lineRule="exact"/>
        <w:contextualSpacing/>
        <w:jc w:val="left"/>
        <w:rPr>
          <w:rFonts w:ascii="仿宋_GB2312" w:eastAsia="仿宋_GB2312" w:hAnsi="仿宋" w:cs="仿宋"/>
          <w:b/>
          <w:bCs/>
          <w:sz w:val="28"/>
          <w:szCs w:val="28"/>
        </w:rPr>
      </w:pPr>
      <w:r w:rsidRPr="00F63701">
        <w:rPr>
          <w:rFonts w:ascii="仿宋_GB2312" w:eastAsia="仿宋_GB2312" w:hAnsi="仿宋" w:cs="仿宋" w:hint="eastAsia"/>
          <w:b/>
          <w:bCs/>
          <w:sz w:val="28"/>
          <w:szCs w:val="28"/>
        </w:rPr>
        <w:t xml:space="preserve">  （三）</w:t>
      </w:r>
      <w:r w:rsidR="00AB454A" w:rsidRPr="00F63701">
        <w:rPr>
          <w:rFonts w:ascii="仿宋_GB2312" w:eastAsia="仿宋_GB2312" w:hAnsi="仿宋" w:cs="仿宋" w:hint="eastAsia"/>
          <w:b/>
          <w:bCs/>
          <w:sz w:val="28"/>
          <w:szCs w:val="28"/>
        </w:rPr>
        <w:t>河南省</w:t>
      </w:r>
    </w:p>
    <w:p w:rsidR="00887DE2" w:rsidRPr="00F63701" w:rsidRDefault="00887DE2">
      <w:pPr>
        <w:widowControl/>
        <w:shd w:val="clear" w:color="auto" w:fill="FFFFFF"/>
        <w:spacing w:line="520" w:lineRule="exact"/>
        <w:contextualSpacing/>
        <w:jc w:val="left"/>
        <w:rPr>
          <w:rFonts w:ascii="仿宋_GB2312" w:eastAsia="仿宋_GB2312" w:hAnsi="仿宋" w:cs="仿宋"/>
          <w:b/>
          <w:bCs/>
          <w:sz w:val="28"/>
          <w:szCs w:val="28"/>
        </w:rPr>
      </w:pPr>
      <w:r w:rsidRPr="00F63701">
        <w:rPr>
          <w:rFonts w:ascii="仿宋_GB2312" w:eastAsia="仿宋_GB2312" w:hAnsi="仿宋" w:cs="仿宋" w:hint="eastAsia"/>
          <w:b/>
          <w:bCs/>
          <w:sz w:val="28"/>
          <w:szCs w:val="28"/>
        </w:rPr>
        <w:t xml:space="preserve">    1、企业经营</w:t>
      </w:r>
      <w:r w:rsidR="00CF5A6D" w:rsidRPr="00F63701">
        <w:rPr>
          <w:rFonts w:ascii="仿宋_GB2312" w:eastAsia="仿宋_GB2312" w:hAnsi="仿宋" w:cs="仿宋" w:hint="eastAsia"/>
          <w:b/>
          <w:bCs/>
          <w:sz w:val="28"/>
          <w:szCs w:val="28"/>
        </w:rPr>
        <w:t>情况</w:t>
      </w:r>
    </w:p>
    <w:p w:rsidR="00542785" w:rsidRPr="00F63701" w:rsidRDefault="00AB454A" w:rsidP="00044181">
      <w:pPr>
        <w:ind w:firstLineChars="200" w:firstLine="560"/>
        <w:rPr>
          <w:rFonts w:ascii="仿宋_GB2312" w:eastAsia="仿宋_GB2312" w:hAnsi="仿宋" w:cs="仿宋"/>
          <w:sz w:val="28"/>
          <w:szCs w:val="28"/>
        </w:rPr>
      </w:pPr>
      <w:r w:rsidRPr="00F63701">
        <w:rPr>
          <w:rFonts w:ascii="仿宋_GB2312" w:eastAsia="仿宋_GB2312" w:hAnsi="仿宋" w:cs="仿宋" w:hint="eastAsia"/>
          <w:sz w:val="28"/>
          <w:szCs w:val="28"/>
        </w:rPr>
        <w:t>2015年全省共有资质内建筑业企业5142家，比上年增加13家,全省建筑业总承包与专业承包企业共完成建筑业总产值8046.67亿元，同比增长1.7%，比去年同期下降11.2个百分点，增速是近十年的最低水平；实现利润 273.59亿元，比上年下降30.2%，产值利润率为 3.4%</w:t>
      </w:r>
      <w:r w:rsidR="00542785" w:rsidRPr="00F63701">
        <w:rPr>
          <w:rFonts w:ascii="仿宋_GB2312" w:eastAsia="仿宋_GB2312" w:hAnsi="仿宋" w:cs="仿宋" w:hint="eastAsia"/>
          <w:sz w:val="28"/>
          <w:szCs w:val="28"/>
        </w:rPr>
        <w:t>；</w:t>
      </w:r>
      <w:r w:rsidRPr="00F63701">
        <w:rPr>
          <w:rFonts w:ascii="仿宋_GB2312" w:eastAsia="仿宋_GB2312" w:hAnsi="仿宋" w:cs="仿宋" w:hint="eastAsia"/>
          <w:sz w:val="28"/>
          <w:szCs w:val="28"/>
        </w:rPr>
        <w:t>新开工房屋施工面积2.36亿平方米，同比下降2.1%；竣工产值4411.67亿元，同比下降0.1%。企业新签合同额8435.2亿元,同比增加4.18%,就业人数260万,同比增加7.9%,境外承包工程48.32亿美元。</w:t>
      </w:r>
    </w:p>
    <w:p w:rsidR="00542785" w:rsidRPr="00F63701" w:rsidRDefault="00542785" w:rsidP="00542785">
      <w:pPr>
        <w:ind w:firstLineChars="200" w:firstLine="560"/>
        <w:rPr>
          <w:rFonts w:ascii="仿宋_GB2312" w:eastAsia="仿宋_GB2312" w:hAnsi="仿宋" w:cs="仿宋"/>
          <w:sz w:val="28"/>
          <w:szCs w:val="28"/>
        </w:rPr>
      </w:pPr>
      <w:r w:rsidRPr="00F63701">
        <w:rPr>
          <w:rFonts w:ascii="仿宋_GB2312" w:eastAsia="仿宋_GB2312" w:hAnsi="仿宋" w:cs="仿宋" w:hint="eastAsia"/>
          <w:sz w:val="28"/>
          <w:szCs w:val="28"/>
        </w:rPr>
        <w:t>占生产比重较大的特级、一级企业建筑业总产值较上年同期下降2.6%，应收工程款较上年同期增长13.9%，利润总额较上年同期下降25.6%。</w:t>
      </w:r>
    </w:p>
    <w:p w:rsidR="00363C01" w:rsidRPr="00F63701" w:rsidRDefault="00887DE2" w:rsidP="00044181">
      <w:pPr>
        <w:ind w:firstLineChars="200" w:firstLine="562"/>
        <w:jc w:val="left"/>
        <w:rPr>
          <w:rFonts w:ascii="仿宋_GB2312" w:eastAsia="仿宋_GB2312" w:hAnsi="仿宋" w:cs="仿宋"/>
          <w:sz w:val="28"/>
          <w:szCs w:val="28"/>
        </w:rPr>
      </w:pPr>
      <w:r w:rsidRPr="00F63701">
        <w:rPr>
          <w:rFonts w:ascii="仿宋_GB2312" w:eastAsia="仿宋_GB2312" w:hAnsi="仿宋" w:cs="仿宋" w:hint="eastAsia"/>
          <w:b/>
          <w:bCs/>
          <w:kern w:val="0"/>
          <w:sz w:val="28"/>
          <w:szCs w:val="28"/>
        </w:rPr>
        <w:t>2、</w:t>
      </w:r>
      <w:r w:rsidR="00AB454A" w:rsidRPr="00F63701">
        <w:rPr>
          <w:rFonts w:ascii="仿宋_GB2312" w:eastAsia="仿宋_GB2312" w:hAnsi="仿宋" w:cs="仿宋" w:hint="eastAsia"/>
          <w:b/>
          <w:bCs/>
          <w:kern w:val="0"/>
          <w:sz w:val="28"/>
          <w:szCs w:val="28"/>
        </w:rPr>
        <w:t>行业发展特点及存在主要问题</w:t>
      </w:r>
    </w:p>
    <w:p w:rsidR="00363C01" w:rsidRPr="00F63701" w:rsidRDefault="00887DE2" w:rsidP="00887DE2">
      <w:pPr>
        <w:jc w:val="left"/>
        <w:rPr>
          <w:rFonts w:ascii="仿宋_GB2312" w:eastAsia="仿宋_GB2312" w:hAnsi="仿宋" w:cs="仿宋"/>
          <w:b/>
          <w:sz w:val="28"/>
          <w:szCs w:val="28"/>
        </w:rPr>
      </w:pPr>
      <w:r w:rsidRPr="00F63701">
        <w:rPr>
          <w:rFonts w:ascii="仿宋_GB2312" w:eastAsia="仿宋_GB2312" w:hAnsi="仿宋" w:cs="仿宋" w:hint="eastAsia"/>
          <w:sz w:val="28"/>
          <w:szCs w:val="28"/>
        </w:rPr>
        <w:t xml:space="preserve">   </w:t>
      </w:r>
      <w:r w:rsidRPr="00F63701">
        <w:rPr>
          <w:rFonts w:ascii="仿宋_GB2312" w:eastAsia="仿宋_GB2312" w:hAnsi="仿宋" w:cs="仿宋" w:hint="eastAsia"/>
          <w:b/>
          <w:sz w:val="28"/>
          <w:szCs w:val="28"/>
        </w:rPr>
        <w:t>（</w:t>
      </w:r>
      <w:r w:rsidR="00AB454A" w:rsidRPr="00F63701">
        <w:rPr>
          <w:rFonts w:ascii="仿宋_GB2312" w:eastAsia="仿宋_GB2312" w:hAnsi="仿宋" w:cs="仿宋" w:hint="eastAsia"/>
          <w:b/>
          <w:sz w:val="28"/>
          <w:szCs w:val="28"/>
        </w:rPr>
        <w:t>1</w:t>
      </w:r>
      <w:r w:rsidRPr="00F63701">
        <w:rPr>
          <w:rFonts w:ascii="仿宋_GB2312" w:eastAsia="仿宋_GB2312" w:hAnsi="仿宋" w:cs="仿宋" w:hint="eastAsia"/>
          <w:b/>
          <w:sz w:val="28"/>
          <w:szCs w:val="28"/>
        </w:rPr>
        <w:t>）</w:t>
      </w:r>
      <w:r w:rsidR="00AB454A" w:rsidRPr="00F63701">
        <w:rPr>
          <w:rFonts w:ascii="仿宋_GB2312" w:eastAsia="仿宋_GB2312" w:hAnsi="仿宋" w:cs="仿宋" w:hint="eastAsia"/>
          <w:b/>
          <w:sz w:val="28"/>
          <w:szCs w:val="28"/>
        </w:rPr>
        <w:t>地区之间建筑业发展不平衡</w:t>
      </w:r>
      <w:r w:rsidRPr="00F63701">
        <w:rPr>
          <w:rFonts w:ascii="仿宋_GB2312" w:eastAsia="仿宋_GB2312" w:hAnsi="仿宋" w:cs="仿宋" w:hint="eastAsia"/>
          <w:b/>
          <w:sz w:val="28"/>
          <w:szCs w:val="28"/>
        </w:rPr>
        <w:t>。</w:t>
      </w:r>
      <w:r w:rsidR="00AB454A" w:rsidRPr="00F63701">
        <w:rPr>
          <w:rFonts w:ascii="仿宋_GB2312" w:eastAsia="仿宋_GB2312" w:hAnsi="仿宋" w:cs="仿宋" w:hint="eastAsia"/>
          <w:sz w:val="28"/>
          <w:szCs w:val="28"/>
        </w:rPr>
        <w:t>2015年，郑州、洛阳继续领跑全省建筑业，对全省建筑业发展的支撑作用进一步增强。洛阳、安阳、新乡、驻马店、信阳、周口、商丘等7个省辖市分别作为豫西、豫北、豫南和豫东板块的代表排在全省前列。</w:t>
      </w:r>
    </w:p>
    <w:p w:rsidR="00363C01" w:rsidRPr="00F63701" w:rsidRDefault="00887DE2" w:rsidP="00887DE2">
      <w:pPr>
        <w:jc w:val="left"/>
        <w:rPr>
          <w:rFonts w:ascii="仿宋_GB2312" w:eastAsia="仿宋_GB2312" w:hAnsi="仿宋" w:cs="仿宋"/>
          <w:sz w:val="28"/>
          <w:szCs w:val="28"/>
        </w:rPr>
      </w:pPr>
      <w:r w:rsidRPr="00F63701">
        <w:rPr>
          <w:rFonts w:ascii="仿宋_GB2312" w:eastAsia="仿宋_GB2312" w:hAnsi="仿宋" w:cs="仿宋" w:hint="eastAsia"/>
          <w:b/>
          <w:sz w:val="28"/>
          <w:szCs w:val="28"/>
        </w:rPr>
        <w:t xml:space="preserve">   （</w:t>
      </w:r>
      <w:r w:rsidR="00AB454A" w:rsidRPr="00F63701">
        <w:rPr>
          <w:rFonts w:ascii="仿宋_GB2312" w:eastAsia="仿宋_GB2312" w:hAnsi="仿宋" w:cs="仿宋" w:hint="eastAsia"/>
          <w:b/>
          <w:sz w:val="28"/>
          <w:szCs w:val="28"/>
        </w:rPr>
        <w:t>2</w:t>
      </w:r>
      <w:r w:rsidRPr="00F63701">
        <w:rPr>
          <w:rFonts w:ascii="仿宋_GB2312" w:eastAsia="仿宋_GB2312" w:hAnsi="仿宋" w:cs="仿宋" w:hint="eastAsia"/>
          <w:b/>
          <w:sz w:val="28"/>
          <w:szCs w:val="28"/>
        </w:rPr>
        <w:t>）省内</w:t>
      </w:r>
      <w:r w:rsidR="00AB454A" w:rsidRPr="00F63701">
        <w:rPr>
          <w:rFonts w:ascii="仿宋_GB2312" w:eastAsia="仿宋_GB2312" w:hAnsi="仿宋" w:cs="仿宋" w:hint="eastAsia"/>
          <w:b/>
          <w:sz w:val="28"/>
          <w:szCs w:val="28"/>
        </w:rPr>
        <w:t>建筑业同</w:t>
      </w:r>
      <w:r w:rsidRPr="00F63701">
        <w:rPr>
          <w:rFonts w:ascii="仿宋_GB2312" w:eastAsia="仿宋_GB2312" w:hAnsi="仿宋" w:cs="仿宋" w:hint="eastAsia"/>
          <w:b/>
          <w:sz w:val="28"/>
          <w:szCs w:val="28"/>
        </w:rPr>
        <w:t>质化</w:t>
      </w:r>
      <w:r w:rsidR="00AB454A" w:rsidRPr="00F63701">
        <w:rPr>
          <w:rFonts w:ascii="仿宋_GB2312" w:eastAsia="仿宋_GB2312" w:hAnsi="仿宋" w:cs="仿宋" w:hint="eastAsia"/>
          <w:b/>
          <w:sz w:val="28"/>
          <w:szCs w:val="28"/>
        </w:rPr>
        <w:t>竞争明显。</w:t>
      </w:r>
      <w:r w:rsidR="00AB454A" w:rsidRPr="00F63701">
        <w:rPr>
          <w:rFonts w:ascii="仿宋_GB2312" w:eastAsia="仿宋_GB2312" w:hAnsi="仿宋" w:cs="仿宋" w:hint="eastAsia"/>
          <w:sz w:val="28"/>
          <w:szCs w:val="28"/>
        </w:rPr>
        <w:t>全省建筑业企业专业相对集中，</w:t>
      </w:r>
      <w:r w:rsidR="00AB454A" w:rsidRPr="00F63701">
        <w:rPr>
          <w:rFonts w:ascii="仿宋_GB2312" w:eastAsia="仿宋_GB2312" w:hAnsi="仿宋" w:cs="仿宋" w:hint="eastAsia"/>
          <w:sz w:val="28"/>
          <w:szCs w:val="28"/>
        </w:rPr>
        <w:lastRenderedPageBreak/>
        <w:t>以房屋建筑为主，同</w:t>
      </w:r>
      <w:r w:rsidRPr="00F63701">
        <w:rPr>
          <w:rFonts w:ascii="仿宋_GB2312" w:eastAsia="仿宋_GB2312" w:hAnsi="仿宋" w:cs="仿宋" w:hint="eastAsia"/>
          <w:sz w:val="28"/>
          <w:szCs w:val="28"/>
        </w:rPr>
        <w:t>质化</w:t>
      </w:r>
      <w:r w:rsidR="00AB454A" w:rsidRPr="00F63701">
        <w:rPr>
          <w:rFonts w:ascii="仿宋_GB2312" w:eastAsia="仿宋_GB2312" w:hAnsi="仿宋" w:cs="仿宋" w:hint="eastAsia"/>
          <w:sz w:val="28"/>
          <w:szCs w:val="28"/>
        </w:rPr>
        <w:t>竞争相对集中、激烈。</w:t>
      </w:r>
    </w:p>
    <w:p w:rsidR="00363C01" w:rsidRPr="00F63701" w:rsidRDefault="00887DE2" w:rsidP="00887DE2">
      <w:pPr>
        <w:jc w:val="left"/>
        <w:rPr>
          <w:rFonts w:ascii="仿宋_GB2312" w:eastAsia="仿宋_GB2312" w:hAnsi="仿宋" w:cs="仿宋"/>
          <w:sz w:val="28"/>
          <w:szCs w:val="28"/>
        </w:rPr>
      </w:pPr>
      <w:r w:rsidRPr="00F63701">
        <w:rPr>
          <w:rFonts w:ascii="仿宋_GB2312" w:eastAsia="仿宋_GB2312" w:hAnsi="仿宋" w:cs="仿宋" w:hint="eastAsia"/>
          <w:sz w:val="28"/>
          <w:szCs w:val="28"/>
        </w:rPr>
        <w:t xml:space="preserve">   </w:t>
      </w:r>
      <w:r w:rsidRPr="00F63701">
        <w:rPr>
          <w:rFonts w:ascii="仿宋_GB2312" w:eastAsia="仿宋_GB2312" w:hAnsi="仿宋" w:cs="仿宋" w:hint="eastAsia"/>
          <w:b/>
          <w:sz w:val="28"/>
          <w:szCs w:val="28"/>
        </w:rPr>
        <w:t>（</w:t>
      </w:r>
      <w:r w:rsidR="00AB454A" w:rsidRPr="00F63701">
        <w:rPr>
          <w:rFonts w:ascii="仿宋_GB2312" w:eastAsia="仿宋_GB2312" w:hAnsi="仿宋" w:cs="仿宋" w:hint="eastAsia"/>
          <w:b/>
          <w:sz w:val="28"/>
          <w:szCs w:val="28"/>
        </w:rPr>
        <w:t>3</w:t>
      </w:r>
      <w:r w:rsidRPr="00F63701">
        <w:rPr>
          <w:rFonts w:ascii="仿宋_GB2312" w:eastAsia="仿宋_GB2312" w:hAnsi="仿宋" w:cs="仿宋" w:hint="eastAsia"/>
          <w:b/>
          <w:sz w:val="28"/>
          <w:szCs w:val="28"/>
        </w:rPr>
        <w:t>）</w:t>
      </w:r>
      <w:r w:rsidR="00AB454A" w:rsidRPr="00F63701">
        <w:rPr>
          <w:rFonts w:ascii="仿宋_GB2312" w:eastAsia="仿宋_GB2312" w:hAnsi="仿宋" w:cs="仿宋" w:hint="eastAsia"/>
          <w:b/>
          <w:sz w:val="28"/>
          <w:szCs w:val="28"/>
        </w:rPr>
        <w:t>民营企业发展速度加快。</w:t>
      </w:r>
      <w:r w:rsidR="00AB454A" w:rsidRPr="00F63701">
        <w:rPr>
          <w:rFonts w:ascii="仿宋_GB2312" w:eastAsia="仿宋_GB2312" w:hAnsi="仿宋" w:cs="仿宋" w:hint="eastAsia"/>
          <w:sz w:val="28"/>
          <w:szCs w:val="28"/>
        </w:rPr>
        <w:t>民营企业的快速发展和比重的提升，说明省</w:t>
      </w:r>
      <w:r w:rsidRPr="00F63701">
        <w:rPr>
          <w:rFonts w:ascii="仿宋_GB2312" w:eastAsia="仿宋_GB2312" w:hAnsi="仿宋" w:cs="仿宋" w:hint="eastAsia"/>
          <w:sz w:val="28"/>
          <w:szCs w:val="28"/>
        </w:rPr>
        <w:t>内</w:t>
      </w:r>
      <w:r w:rsidR="00AB454A" w:rsidRPr="00F63701">
        <w:rPr>
          <w:rFonts w:ascii="仿宋_GB2312" w:eastAsia="仿宋_GB2312" w:hAnsi="仿宋" w:cs="仿宋" w:hint="eastAsia"/>
          <w:sz w:val="28"/>
          <w:szCs w:val="28"/>
        </w:rPr>
        <w:t>建筑业企业产权制度改革的步伐进一步加快，企业的活力得到增强。</w:t>
      </w:r>
    </w:p>
    <w:p w:rsidR="00363C01" w:rsidRPr="00F63701" w:rsidRDefault="00887DE2" w:rsidP="00887DE2">
      <w:pPr>
        <w:jc w:val="left"/>
        <w:rPr>
          <w:rFonts w:ascii="仿宋_GB2312" w:eastAsia="仿宋_GB2312" w:hAnsi="仿宋" w:cs="仿宋"/>
          <w:sz w:val="28"/>
          <w:szCs w:val="28"/>
        </w:rPr>
      </w:pPr>
      <w:r w:rsidRPr="00F63701">
        <w:rPr>
          <w:rFonts w:ascii="仿宋_GB2312" w:eastAsia="仿宋_GB2312" w:hAnsi="仿宋" w:cs="仿宋" w:hint="eastAsia"/>
          <w:b/>
          <w:sz w:val="28"/>
          <w:szCs w:val="28"/>
        </w:rPr>
        <w:t xml:space="preserve">   （4）</w:t>
      </w:r>
      <w:r w:rsidR="00AB454A" w:rsidRPr="00F63701">
        <w:rPr>
          <w:rFonts w:ascii="仿宋_GB2312" w:eastAsia="仿宋_GB2312" w:hAnsi="仿宋" w:cs="仿宋" w:hint="eastAsia"/>
          <w:b/>
          <w:sz w:val="28"/>
          <w:szCs w:val="28"/>
        </w:rPr>
        <w:t>外向度与企业竞争力关联度高。</w:t>
      </w:r>
      <w:r w:rsidR="00AB454A" w:rsidRPr="00F63701">
        <w:rPr>
          <w:rFonts w:ascii="仿宋_GB2312" w:eastAsia="仿宋_GB2312" w:hAnsi="仿宋" w:cs="仿宋" w:hint="eastAsia"/>
          <w:sz w:val="28"/>
          <w:szCs w:val="28"/>
        </w:rPr>
        <w:t>从建筑业企业资质分类上看，总承包资质企业外向度高于专业承包资质企业，完成的产值与企业资质级别成正比。从企业的隶属关系看，隶属中央、省、省辖市及县的企业外向度逐渐下降</w:t>
      </w:r>
      <w:r w:rsidRPr="00F63701">
        <w:rPr>
          <w:rFonts w:ascii="仿宋_GB2312" w:eastAsia="仿宋_GB2312" w:hAnsi="仿宋" w:cs="仿宋" w:hint="eastAsia"/>
          <w:sz w:val="28"/>
          <w:szCs w:val="28"/>
        </w:rPr>
        <w:t>。</w:t>
      </w:r>
    </w:p>
    <w:p w:rsidR="00363C01" w:rsidRPr="00F63701" w:rsidRDefault="00887DE2" w:rsidP="00887DE2">
      <w:pPr>
        <w:ind w:firstLineChars="200" w:firstLine="562"/>
        <w:jc w:val="left"/>
        <w:rPr>
          <w:rFonts w:ascii="仿宋_GB2312" w:eastAsia="仿宋_GB2312" w:hAnsi="仿宋" w:cs="仿宋"/>
          <w:sz w:val="28"/>
          <w:szCs w:val="28"/>
        </w:rPr>
      </w:pPr>
      <w:r w:rsidRPr="00F63701">
        <w:rPr>
          <w:rFonts w:ascii="仿宋_GB2312" w:eastAsia="仿宋_GB2312" w:hAnsi="仿宋" w:cs="仿宋" w:hint="eastAsia"/>
          <w:b/>
          <w:sz w:val="28"/>
          <w:szCs w:val="28"/>
        </w:rPr>
        <w:t>（5）</w:t>
      </w:r>
      <w:r w:rsidR="00AB454A" w:rsidRPr="00F63701">
        <w:rPr>
          <w:rFonts w:ascii="仿宋_GB2312" w:eastAsia="仿宋_GB2312" w:hAnsi="仿宋" w:cs="仿宋" w:hint="eastAsia"/>
          <w:b/>
          <w:sz w:val="28"/>
          <w:szCs w:val="28"/>
        </w:rPr>
        <w:t>建筑企业整合度低</w:t>
      </w:r>
      <w:r w:rsidRPr="00F63701">
        <w:rPr>
          <w:rFonts w:ascii="仿宋_GB2312" w:eastAsia="仿宋_GB2312" w:hAnsi="仿宋" w:cs="仿宋" w:hint="eastAsia"/>
          <w:b/>
          <w:sz w:val="28"/>
          <w:szCs w:val="28"/>
        </w:rPr>
        <w:t>。</w:t>
      </w:r>
      <w:r w:rsidR="00AB454A" w:rsidRPr="00F63701">
        <w:rPr>
          <w:rFonts w:ascii="仿宋_GB2312" w:eastAsia="仿宋_GB2312" w:hAnsi="仿宋" w:cs="仿宋" w:hint="eastAsia"/>
          <w:sz w:val="28"/>
          <w:szCs w:val="28"/>
        </w:rPr>
        <w:t>大都只能提供产品中的一段，比如勘察、设计、施工、安装调试等，工程总</w:t>
      </w:r>
      <w:r w:rsidR="009718C8" w:rsidRPr="00F63701">
        <w:rPr>
          <w:rFonts w:ascii="仿宋_GB2312" w:eastAsia="仿宋_GB2312" w:hAnsi="仿宋" w:cs="仿宋" w:hint="eastAsia"/>
          <w:sz w:val="28"/>
          <w:szCs w:val="28"/>
        </w:rPr>
        <w:t>承包</w:t>
      </w:r>
      <w:r w:rsidR="00AB454A" w:rsidRPr="00F63701">
        <w:rPr>
          <w:rFonts w:ascii="仿宋_GB2312" w:eastAsia="仿宋_GB2312" w:hAnsi="仿宋" w:cs="仿宋" w:hint="eastAsia"/>
          <w:sz w:val="28"/>
          <w:szCs w:val="28"/>
        </w:rPr>
        <w:t>很少，因此大部分企业只是单一规模大，并不能发挥整个</w:t>
      </w:r>
      <w:r w:rsidR="00A71BEB" w:rsidRPr="00F63701">
        <w:rPr>
          <w:rFonts w:ascii="仿宋_GB2312" w:eastAsia="仿宋_GB2312" w:hAnsi="仿宋" w:cs="仿宋" w:hint="eastAsia"/>
          <w:sz w:val="28"/>
          <w:szCs w:val="28"/>
        </w:rPr>
        <w:t>行业产业</w:t>
      </w:r>
      <w:r w:rsidR="00AB454A" w:rsidRPr="00F63701">
        <w:rPr>
          <w:rFonts w:ascii="仿宋_GB2312" w:eastAsia="仿宋_GB2312" w:hAnsi="仿宋" w:cs="仿宋" w:hint="eastAsia"/>
          <w:sz w:val="28"/>
          <w:szCs w:val="28"/>
        </w:rPr>
        <w:t>链优势。</w:t>
      </w:r>
    </w:p>
    <w:p w:rsidR="00363C01" w:rsidRPr="00F63701" w:rsidRDefault="006A14C5">
      <w:pPr>
        <w:rPr>
          <w:rFonts w:ascii="仿宋_GB2312" w:eastAsia="仿宋_GB2312" w:hAnsi="仿宋" w:cs="仿宋"/>
          <w:b/>
          <w:bCs/>
          <w:sz w:val="28"/>
          <w:szCs w:val="28"/>
        </w:rPr>
      </w:pPr>
      <w:r w:rsidRPr="00F63701">
        <w:rPr>
          <w:rFonts w:ascii="仿宋_GB2312" w:eastAsia="仿宋_GB2312" w:hAnsi="仿宋" w:cs="仿宋" w:hint="eastAsia"/>
          <w:b/>
          <w:bCs/>
          <w:sz w:val="28"/>
          <w:szCs w:val="28"/>
        </w:rPr>
        <w:t xml:space="preserve">    （四）</w:t>
      </w:r>
      <w:r w:rsidR="00AB454A" w:rsidRPr="00F63701">
        <w:rPr>
          <w:rFonts w:ascii="仿宋_GB2312" w:eastAsia="仿宋_GB2312" w:hAnsi="仿宋" w:cs="仿宋" w:hint="eastAsia"/>
          <w:b/>
          <w:bCs/>
          <w:sz w:val="28"/>
          <w:szCs w:val="28"/>
        </w:rPr>
        <w:t>浙江省</w:t>
      </w:r>
    </w:p>
    <w:p w:rsidR="00363C01" w:rsidRPr="00F63701" w:rsidRDefault="006A14C5" w:rsidP="00044181">
      <w:pPr>
        <w:ind w:firstLineChars="200" w:firstLine="562"/>
        <w:rPr>
          <w:rFonts w:ascii="仿宋_GB2312" w:eastAsia="仿宋_GB2312" w:hAnsi="仿宋" w:cs="仿宋"/>
          <w:b/>
          <w:bCs/>
          <w:sz w:val="28"/>
          <w:szCs w:val="28"/>
        </w:rPr>
      </w:pPr>
      <w:r w:rsidRPr="00F63701">
        <w:rPr>
          <w:rFonts w:ascii="仿宋_GB2312" w:eastAsia="仿宋_GB2312" w:hAnsi="仿宋" w:cs="仿宋" w:hint="eastAsia"/>
          <w:b/>
          <w:bCs/>
          <w:sz w:val="28"/>
          <w:szCs w:val="28"/>
        </w:rPr>
        <w:t>1</w:t>
      </w:r>
      <w:r w:rsidR="00AB454A" w:rsidRPr="00F63701">
        <w:rPr>
          <w:rFonts w:ascii="仿宋_GB2312" w:eastAsia="仿宋_GB2312" w:hAnsi="仿宋" w:cs="仿宋" w:hint="eastAsia"/>
          <w:b/>
          <w:bCs/>
          <w:sz w:val="28"/>
          <w:szCs w:val="28"/>
        </w:rPr>
        <w:t>、</w:t>
      </w:r>
      <w:r w:rsidRPr="00F63701">
        <w:rPr>
          <w:rFonts w:ascii="仿宋_GB2312" w:eastAsia="仿宋_GB2312" w:hAnsi="仿宋" w:cs="仿宋" w:hint="eastAsia"/>
          <w:b/>
          <w:bCs/>
          <w:sz w:val="28"/>
          <w:szCs w:val="28"/>
        </w:rPr>
        <w:t>企业</w:t>
      </w:r>
      <w:r w:rsidR="00AB454A" w:rsidRPr="00F63701">
        <w:rPr>
          <w:rFonts w:ascii="仿宋_GB2312" w:eastAsia="仿宋_GB2312" w:hAnsi="仿宋" w:cs="仿宋" w:hint="eastAsia"/>
          <w:b/>
          <w:bCs/>
          <w:sz w:val="28"/>
          <w:szCs w:val="28"/>
        </w:rPr>
        <w:t>经营</w:t>
      </w:r>
      <w:r w:rsidR="00CF5A6D" w:rsidRPr="00F63701">
        <w:rPr>
          <w:rFonts w:ascii="仿宋_GB2312" w:eastAsia="仿宋_GB2312" w:hAnsi="仿宋" w:cs="仿宋" w:hint="eastAsia"/>
          <w:b/>
          <w:bCs/>
          <w:sz w:val="28"/>
          <w:szCs w:val="28"/>
        </w:rPr>
        <w:t>情况</w:t>
      </w:r>
    </w:p>
    <w:p w:rsidR="00363C01" w:rsidRPr="00F63701" w:rsidRDefault="00AB454A" w:rsidP="006A14C5">
      <w:pPr>
        <w:ind w:firstLineChars="200" w:firstLine="560"/>
        <w:rPr>
          <w:rFonts w:ascii="仿宋_GB2312" w:eastAsia="仿宋_GB2312" w:hAnsi="仿宋" w:cs="仿宋"/>
          <w:sz w:val="28"/>
          <w:szCs w:val="28"/>
        </w:rPr>
      </w:pPr>
      <w:r w:rsidRPr="00F63701">
        <w:rPr>
          <w:rFonts w:ascii="仿宋_GB2312" w:eastAsia="仿宋_GB2312" w:hAnsi="仿宋" w:cs="仿宋" w:hint="eastAsia"/>
          <w:sz w:val="28"/>
          <w:szCs w:val="28"/>
        </w:rPr>
        <w:t>2015年，全省建筑企业完成建筑业总产值达23980.6亿元，比去年同期增长5.8%，增幅下降6.4个百分点。其中省外产值12191.7亿，同比增长7.6%，增幅下降4.8个百分点，省外产值占全省建筑业产值总量的50.8%，省外产值占比同比提高0.8个百分点</w:t>
      </w:r>
      <w:r w:rsidR="006A14C5" w:rsidRPr="00F63701">
        <w:rPr>
          <w:rFonts w:ascii="仿宋_GB2312" w:eastAsia="仿宋_GB2312" w:hAnsi="仿宋" w:cs="仿宋" w:hint="eastAsia"/>
          <w:sz w:val="28"/>
          <w:szCs w:val="28"/>
        </w:rPr>
        <w:t>；</w:t>
      </w:r>
      <w:r w:rsidRPr="00F63701">
        <w:rPr>
          <w:rFonts w:ascii="仿宋_GB2312" w:eastAsia="仿宋_GB2312" w:hAnsi="仿宋" w:cs="仿宋" w:hint="eastAsia"/>
          <w:sz w:val="28"/>
          <w:szCs w:val="28"/>
        </w:rPr>
        <w:t>全省建筑业新签合同额21861.1亿，同比下降2.1%，增幅比去年同期下降9.7个百分点</w:t>
      </w:r>
      <w:r w:rsidR="006A14C5" w:rsidRPr="00F63701">
        <w:rPr>
          <w:rFonts w:ascii="仿宋_GB2312" w:eastAsia="仿宋_GB2312" w:hAnsi="仿宋" w:cs="仿宋" w:hint="eastAsia"/>
          <w:sz w:val="28"/>
          <w:szCs w:val="28"/>
        </w:rPr>
        <w:t>；</w:t>
      </w:r>
      <w:r w:rsidRPr="00F63701">
        <w:rPr>
          <w:rFonts w:ascii="仿宋_GB2312" w:eastAsia="仿宋_GB2312" w:hAnsi="仿宋" w:cs="仿宋" w:hint="eastAsia"/>
          <w:sz w:val="28"/>
          <w:szCs w:val="28"/>
        </w:rPr>
        <w:t>全省建筑业实现利润总额为598亿元，同比增长3.8%</w:t>
      </w:r>
    </w:p>
    <w:p w:rsidR="00363C01" w:rsidRPr="00F63701" w:rsidRDefault="00AB454A" w:rsidP="00044181">
      <w:pPr>
        <w:ind w:firstLineChars="200" w:firstLine="560"/>
        <w:rPr>
          <w:rFonts w:ascii="仿宋_GB2312" w:eastAsia="仿宋_GB2312" w:hAnsi="仿宋" w:cs="仿宋"/>
          <w:sz w:val="28"/>
          <w:szCs w:val="28"/>
        </w:rPr>
      </w:pPr>
      <w:r w:rsidRPr="00F63701">
        <w:rPr>
          <w:rFonts w:ascii="仿宋_GB2312" w:eastAsia="仿宋_GB2312" w:hAnsi="仿宋" w:cs="仿宋" w:hint="eastAsia"/>
          <w:sz w:val="28"/>
          <w:szCs w:val="28"/>
        </w:rPr>
        <w:t>企业境外承包工程情况：2015年，全省国外经济合作完成营业额405.63亿元人民币，同比增长23.85，呈现稳定增长的态势。其中，对外承包工程完成营业额401.24亿元人民币，同比增长19%。</w:t>
      </w:r>
    </w:p>
    <w:p w:rsidR="00363C01" w:rsidRPr="00F63701" w:rsidRDefault="006A14C5" w:rsidP="006A14C5">
      <w:pPr>
        <w:rPr>
          <w:rFonts w:ascii="仿宋_GB2312" w:eastAsia="仿宋_GB2312" w:hAnsi="仿宋" w:cs="仿宋"/>
          <w:b/>
          <w:bCs/>
          <w:kern w:val="0"/>
          <w:sz w:val="28"/>
          <w:szCs w:val="28"/>
        </w:rPr>
      </w:pPr>
      <w:r w:rsidRPr="00F63701">
        <w:rPr>
          <w:rFonts w:ascii="仿宋_GB2312" w:eastAsia="仿宋_GB2312" w:hAnsi="仿宋" w:cs="仿宋" w:hint="eastAsia"/>
          <w:b/>
          <w:bCs/>
          <w:kern w:val="0"/>
          <w:sz w:val="28"/>
          <w:szCs w:val="28"/>
        </w:rPr>
        <w:lastRenderedPageBreak/>
        <w:t xml:space="preserve">    2、</w:t>
      </w:r>
      <w:r w:rsidR="00AB454A" w:rsidRPr="00F63701">
        <w:rPr>
          <w:rFonts w:ascii="仿宋_GB2312" w:eastAsia="仿宋_GB2312" w:hAnsi="仿宋" w:cs="仿宋" w:hint="eastAsia"/>
          <w:b/>
          <w:bCs/>
          <w:kern w:val="0"/>
          <w:sz w:val="28"/>
          <w:szCs w:val="28"/>
        </w:rPr>
        <w:t>行业发展特点</w:t>
      </w:r>
    </w:p>
    <w:p w:rsidR="00363C01" w:rsidRPr="00F63701" w:rsidRDefault="00AB454A" w:rsidP="00D342FA">
      <w:pPr>
        <w:ind w:firstLineChars="200" w:firstLine="560"/>
        <w:rPr>
          <w:rFonts w:ascii="仿宋_GB2312" w:eastAsia="仿宋_GB2312" w:hAnsi="仿宋" w:cs="仿宋"/>
          <w:kern w:val="0"/>
          <w:sz w:val="28"/>
          <w:szCs w:val="28"/>
        </w:rPr>
      </w:pPr>
      <w:r w:rsidRPr="00F63701">
        <w:rPr>
          <w:rFonts w:ascii="仿宋_GB2312" w:eastAsia="仿宋_GB2312" w:hAnsi="仿宋" w:cs="仿宋" w:hint="eastAsia"/>
          <w:kern w:val="0"/>
          <w:sz w:val="28"/>
          <w:szCs w:val="28"/>
        </w:rPr>
        <w:t>从</w:t>
      </w:r>
      <w:r w:rsidR="00D342FA" w:rsidRPr="00F63701">
        <w:rPr>
          <w:rFonts w:ascii="仿宋_GB2312" w:eastAsia="仿宋_GB2312" w:hAnsi="仿宋" w:cs="仿宋" w:hint="eastAsia"/>
          <w:kern w:val="0"/>
          <w:sz w:val="28"/>
          <w:szCs w:val="28"/>
        </w:rPr>
        <w:t>全省企业的</w:t>
      </w:r>
      <w:r w:rsidRPr="00F63701">
        <w:rPr>
          <w:rFonts w:ascii="仿宋_GB2312" w:eastAsia="仿宋_GB2312" w:hAnsi="仿宋" w:cs="仿宋" w:hint="eastAsia"/>
          <w:kern w:val="0"/>
          <w:sz w:val="28"/>
          <w:szCs w:val="28"/>
        </w:rPr>
        <w:t>主要经济指标看，保持稳中有</w:t>
      </w:r>
      <w:r w:rsidR="00D342FA" w:rsidRPr="00F63701">
        <w:rPr>
          <w:rFonts w:ascii="仿宋_GB2312" w:eastAsia="仿宋_GB2312" w:hAnsi="仿宋" w:cs="仿宋" w:hint="eastAsia"/>
          <w:kern w:val="0"/>
          <w:sz w:val="28"/>
          <w:szCs w:val="28"/>
        </w:rPr>
        <w:t>升</w:t>
      </w:r>
      <w:r w:rsidRPr="00F63701">
        <w:rPr>
          <w:rFonts w:ascii="仿宋_GB2312" w:eastAsia="仿宋_GB2312" w:hAnsi="仿宋" w:cs="仿宋" w:hint="eastAsia"/>
          <w:kern w:val="0"/>
          <w:sz w:val="28"/>
          <w:szCs w:val="28"/>
        </w:rPr>
        <w:t>的态势。从全国来看，市场份额进一步扩大。2015年，省建筑业总产值占全国建筑业总产值的13.3%，总产值增幅比全国增幅2.3%高出3.5个百分点；全年房屋建筑施工面积20.2亿平方米，占全国房屋建筑面积的16.3%</w:t>
      </w:r>
      <w:r w:rsidR="00D342FA" w:rsidRPr="00F63701">
        <w:rPr>
          <w:rFonts w:ascii="仿宋_GB2312" w:eastAsia="仿宋_GB2312" w:hAnsi="仿宋" w:cs="仿宋" w:hint="eastAsia"/>
          <w:kern w:val="0"/>
          <w:sz w:val="28"/>
          <w:szCs w:val="28"/>
        </w:rPr>
        <w:t>。</w:t>
      </w:r>
      <w:r w:rsidRPr="00F63701">
        <w:rPr>
          <w:rFonts w:ascii="仿宋_GB2312" w:eastAsia="仿宋_GB2312" w:hAnsi="仿宋" w:cs="仿宋" w:hint="eastAsia"/>
          <w:kern w:val="0"/>
          <w:sz w:val="28"/>
          <w:szCs w:val="28"/>
        </w:rPr>
        <w:t>从全省来看，建筑业支柱产业地位依然稳固。2015年，全省建筑业在省内实现增加值2563亿元，贡献地税收入423.5亿元，分别占全省GDP总值得6.0%和地税入库的11.7%；其中建筑业增加值同比增长9.3%，超过全省地区生产总值增幅1.3个百分点，继续发挥着</w:t>
      </w:r>
      <w:r w:rsidR="00D342FA" w:rsidRPr="00F63701">
        <w:rPr>
          <w:rFonts w:ascii="仿宋_GB2312" w:eastAsia="仿宋_GB2312" w:hAnsi="仿宋" w:cs="仿宋" w:hint="eastAsia"/>
          <w:kern w:val="0"/>
          <w:sz w:val="28"/>
          <w:szCs w:val="28"/>
        </w:rPr>
        <w:t>全</w:t>
      </w:r>
      <w:r w:rsidRPr="00F63701">
        <w:rPr>
          <w:rFonts w:ascii="仿宋_GB2312" w:eastAsia="仿宋_GB2312" w:hAnsi="仿宋" w:cs="仿宋" w:hint="eastAsia"/>
          <w:kern w:val="0"/>
          <w:sz w:val="28"/>
          <w:szCs w:val="28"/>
        </w:rPr>
        <w:t>省经济支柱产业的作用。</w:t>
      </w:r>
    </w:p>
    <w:p w:rsidR="00363C01" w:rsidRPr="00F63701" w:rsidRDefault="00D342FA">
      <w:pPr>
        <w:rPr>
          <w:rFonts w:ascii="仿宋_GB2312" w:eastAsia="仿宋_GB2312" w:hAnsi="仿宋" w:cs="仿宋"/>
          <w:b/>
          <w:bCs/>
          <w:sz w:val="28"/>
          <w:szCs w:val="28"/>
        </w:rPr>
      </w:pPr>
      <w:r w:rsidRPr="00F63701">
        <w:rPr>
          <w:rFonts w:ascii="仿宋_GB2312" w:eastAsia="仿宋_GB2312" w:hAnsi="仿宋" w:cs="仿宋" w:hint="eastAsia"/>
          <w:kern w:val="0"/>
          <w:sz w:val="28"/>
          <w:szCs w:val="28"/>
        </w:rPr>
        <w:t xml:space="preserve">   </w:t>
      </w:r>
      <w:r w:rsidRPr="00F63701">
        <w:rPr>
          <w:rFonts w:ascii="仿宋_GB2312" w:eastAsia="仿宋_GB2312" w:hAnsi="仿宋" w:cs="仿宋" w:hint="eastAsia"/>
          <w:b/>
          <w:kern w:val="0"/>
          <w:sz w:val="28"/>
          <w:szCs w:val="28"/>
        </w:rPr>
        <w:t xml:space="preserve"> （五）</w:t>
      </w:r>
      <w:r w:rsidR="00AB454A" w:rsidRPr="00F63701">
        <w:rPr>
          <w:rFonts w:ascii="仿宋_GB2312" w:eastAsia="仿宋_GB2312" w:hAnsi="仿宋" w:cs="仿宋" w:hint="eastAsia"/>
          <w:b/>
          <w:bCs/>
          <w:sz w:val="28"/>
          <w:szCs w:val="28"/>
        </w:rPr>
        <w:t>深圳市</w:t>
      </w:r>
    </w:p>
    <w:p w:rsidR="00363C01" w:rsidRPr="00AE752D" w:rsidRDefault="00D342FA" w:rsidP="00044181">
      <w:pPr>
        <w:widowControl/>
        <w:shd w:val="clear" w:color="auto" w:fill="FFFFFF"/>
        <w:spacing w:line="600" w:lineRule="exact"/>
        <w:ind w:firstLineChars="200" w:firstLine="562"/>
        <w:jc w:val="left"/>
        <w:outlineLvl w:val="2"/>
        <w:rPr>
          <w:rFonts w:ascii="仿宋_GB2312" w:eastAsia="仿宋_GB2312" w:hAnsi="仿宋" w:cs="仿宋"/>
          <w:b/>
          <w:bCs/>
          <w:sz w:val="28"/>
          <w:szCs w:val="28"/>
        </w:rPr>
      </w:pPr>
      <w:r w:rsidRPr="00AE752D">
        <w:rPr>
          <w:rFonts w:ascii="仿宋_GB2312" w:eastAsia="仿宋_GB2312" w:hAnsi="仿宋" w:cs="仿宋" w:hint="eastAsia"/>
          <w:b/>
          <w:bCs/>
          <w:sz w:val="28"/>
          <w:szCs w:val="28"/>
        </w:rPr>
        <w:t>1、企业</w:t>
      </w:r>
      <w:r w:rsidR="00AB454A" w:rsidRPr="00AE752D">
        <w:rPr>
          <w:rFonts w:ascii="仿宋_GB2312" w:eastAsia="仿宋_GB2312" w:hAnsi="仿宋" w:cs="仿宋" w:hint="eastAsia"/>
          <w:b/>
          <w:bCs/>
          <w:sz w:val="28"/>
          <w:szCs w:val="28"/>
        </w:rPr>
        <w:t>经营</w:t>
      </w:r>
      <w:r w:rsidR="00CF5A6D" w:rsidRPr="00AE752D">
        <w:rPr>
          <w:rFonts w:ascii="仿宋_GB2312" w:eastAsia="仿宋_GB2312" w:hAnsi="仿宋" w:cs="仿宋" w:hint="eastAsia"/>
          <w:b/>
          <w:bCs/>
          <w:sz w:val="28"/>
          <w:szCs w:val="28"/>
        </w:rPr>
        <w:t>情况</w:t>
      </w:r>
    </w:p>
    <w:p w:rsidR="00D342FA" w:rsidRPr="00F63701" w:rsidRDefault="00D342FA" w:rsidP="00D342FA">
      <w:pPr>
        <w:ind w:firstLineChars="200" w:firstLine="560"/>
        <w:rPr>
          <w:rFonts w:ascii="仿宋_GB2312" w:eastAsia="仿宋_GB2312" w:hAnsi="仿宋" w:cs="仿宋"/>
          <w:sz w:val="28"/>
          <w:szCs w:val="28"/>
        </w:rPr>
      </w:pPr>
      <w:r w:rsidRPr="00F63701">
        <w:rPr>
          <w:rFonts w:ascii="仿宋_GB2312" w:eastAsia="仿宋_GB2312" w:hAnsi="仿宋" w:cs="仿宋" w:hint="eastAsia"/>
          <w:sz w:val="28"/>
          <w:szCs w:val="28"/>
        </w:rPr>
        <w:t>2015年，全市</w:t>
      </w:r>
      <w:r w:rsidR="00AB454A" w:rsidRPr="00F63701">
        <w:rPr>
          <w:rFonts w:ascii="仿宋_GB2312" w:eastAsia="仿宋_GB2312" w:hAnsi="仿宋" w:cs="仿宋" w:hint="eastAsia"/>
          <w:sz w:val="28"/>
          <w:szCs w:val="28"/>
        </w:rPr>
        <w:t>建筑业完成总产值2238亿元，比上年增长2.01%；预计利润96亿元，预计</w:t>
      </w:r>
      <w:r w:rsidRPr="00F63701">
        <w:rPr>
          <w:rFonts w:ascii="仿宋_GB2312" w:eastAsia="仿宋_GB2312" w:hAnsi="仿宋" w:cs="仿宋" w:hint="eastAsia"/>
          <w:sz w:val="28"/>
          <w:szCs w:val="28"/>
        </w:rPr>
        <w:t>同比</w:t>
      </w:r>
      <w:r w:rsidR="00AB454A" w:rsidRPr="00F63701">
        <w:rPr>
          <w:rFonts w:ascii="仿宋_GB2312" w:eastAsia="仿宋_GB2312" w:hAnsi="仿宋" w:cs="仿宋" w:hint="eastAsia"/>
          <w:sz w:val="28"/>
          <w:szCs w:val="28"/>
        </w:rPr>
        <w:t>增长4.35%；</w:t>
      </w:r>
      <w:r w:rsidRPr="00F63701">
        <w:rPr>
          <w:rFonts w:ascii="仿宋_GB2312" w:eastAsia="仿宋_GB2312" w:hAnsi="仿宋" w:cs="仿宋" w:hint="eastAsia"/>
          <w:sz w:val="28"/>
          <w:szCs w:val="28"/>
        </w:rPr>
        <w:t>施工规模稳步增长，全年新签合同2636亿元，同比增长9.98%。</w:t>
      </w:r>
    </w:p>
    <w:p w:rsidR="00363C01" w:rsidRPr="00F63701" w:rsidRDefault="00D342FA" w:rsidP="00044181">
      <w:pPr>
        <w:ind w:firstLineChars="200" w:firstLine="562"/>
        <w:rPr>
          <w:rFonts w:ascii="仿宋_GB2312" w:eastAsia="仿宋_GB2312" w:hAnsi="仿宋" w:cs="仿宋"/>
          <w:b/>
          <w:bCs/>
          <w:sz w:val="28"/>
          <w:szCs w:val="28"/>
        </w:rPr>
      </w:pPr>
      <w:r w:rsidRPr="00F63701">
        <w:rPr>
          <w:rFonts w:ascii="仿宋_GB2312" w:eastAsia="仿宋_GB2312" w:hAnsi="仿宋" w:cs="仿宋" w:hint="eastAsia"/>
          <w:b/>
          <w:bCs/>
          <w:sz w:val="28"/>
          <w:szCs w:val="28"/>
        </w:rPr>
        <w:t>2、</w:t>
      </w:r>
      <w:r w:rsidR="00AB454A" w:rsidRPr="00F63701">
        <w:rPr>
          <w:rFonts w:ascii="仿宋_GB2312" w:eastAsia="仿宋_GB2312" w:hAnsi="仿宋" w:cs="仿宋" w:hint="eastAsia"/>
          <w:b/>
          <w:bCs/>
          <w:sz w:val="28"/>
          <w:szCs w:val="28"/>
        </w:rPr>
        <w:t>行业发展特点及存在主要问题</w:t>
      </w:r>
    </w:p>
    <w:p w:rsidR="00363C01" w:rsidRPr="005647D9" w:rsidRDefault="00D342FA" w:rsidP="005647D9">
      <w:pPr>
        <w:rPr>
          <w:rFonts w:ascii="仿宋_GB2312" w:eastAsia="仿宋_GB2312" w:hAnsi="仿宋" w:cs="仿宋"/>
          <w:b/>
          <w:sz w:val="28"/>
          <w:szCs w:val="28"/>
        </w:rPr>
      </w:pPr>
      <w:r w:rsidRPr="00F63701">
        <w:rPr>
          <w:rFonts w:ascii="仿宋_GB2312" w:eastAsia="仿宋_GB2312" w:hAnsi="仿宋" w:cs="仿宋" w:hint="eastAsia"/>
          <w:b/>
          <w:sz w:val="28"/>
          <w:szCs w:val="28"/>
        </w:rPr>
        <w:t xml:space="preserve">   （</w:t>
      </w:r>
      <w:r w:rsidR="00AB454A" w:rsidRPr="00F63701">
        <w:rPr>
          <w:rFonts w:ascii="仿宋_GB2312" w:eastAsia="仿宋_GB2312" w:hAnsi="仿宋" w:cs="仿宋" w:hint="eastAsia"/>
          <w:b/>
          <w:sz w:val="28"/>
          <w:szCs w:val="28"/>
        </w:rPr>
        <w:t>1</w:t>
      </w:r>
      <w:r w:rsidRPr="00F63701">
        <w:rPr>
          <w:rFonts w:ascii="仿宋_GB2312" w:eastAsia="仿宋_GB2312" w:hAnsi="仿宋" w:cs="仿宋" w:hint="eastAsia"/>
          <w:b/>
          <w:sz w:val="28"/>
          <w:szCs w:val="28"/>
        </w:rPr>
        <w:t>）</w:t>
      </w:r>
      <w:r w:rsidR="005647D9">
        <w:rPr>
          <w:rFonts w:ascii="仿宋_GB2312" w:eastAsia="仿宋_GB2312" w:hAnsi="仿宋" w:cs="仿宋" w:hint="eastAsia"/>
          <w:b/>
          <w:sz w:val="28"/>
          <w:szCs w:val="28"/>
        </w:rPr>
        <w:t>深圳市重点开发区域为深圳市建筑业的发展提供项目支持。</w:t>
      </w:r>
      <w:r w:rsidR="00AB454A" w:rsidRPr="00F63701">
        <w:rPr>
          <w:rFonts w:ascii="仿宋_GB2312" w:eastAsia="仿宋_GB2312" w:hAnsi="仿宋" w:cs="仿宋" w:hint="eastAsia"/>
          <w:sz w:val="28"/>
          <w:szCs w:val="28"/>
        </w:rPr>
        <w:t>目前深圳提出的前海蛇口自贸区建设、湾区经济建设、低碳城等深圳15个重点开发区域建设等战略部署，将有望成为深圳建筑业新的经济增长点。交通、市政等基础设施建设与投资使深圳建筑业得以持续推进。深圳未来的城市发展规划为建筑业的持续发展提供项目支持；</w:t>
      </w:r>
    </w:p>
    <w:p w:rsidR="00363C01" w:rsidRPr="005647D9" w:rsidRDefault="00D342FA" w:rsidP="005647D9">
      <w:pPr>
        <w:ind w:firstLineChars="200" w:firstLine="562"/>
        <w:rPr>
          <w:rFonts w:ascii="仿宋_GB2312" w:eastAsia="仿宋_GB2312" w:hAnsi="仿宋" w:cs="仿宋"/>
          <w:b/>
          <w:sz w:val="28"/>
          <w:szCs w:val="28"/>
        </w:rPr>
      </w:pPr>
      <w:r w:rsidRPr="00F63701">
        <w:rPr>
          <w:rFonts w:ascii="仿宋_GB2312" w:eastAsia="仿宋_GB2312" w:hAnsi="仿宋" w:cs="仿宋" w:hint="eastAsia"/>
          <w:b/>
          <w:sz w:val="28"/>
          <w:szCs w:val="28"/>
        </w:rPr>
        <w:t>（</w:t>
      </w:r>
      <w:r w:rsidR="00AB454A" w:rsidRPr="00F63701">
        <w:rPr>
          <w:rFonts w:ascii="仿宋_GB2312" w:eastAsia="仿宋_GB2312" w:hAnsi="仿宋" w:cs="仿宋" w:hint="eastAsia"/>
          <w:b/>
          <w:sz w:val="28"/>
          <w:szCs w:val="28"/>
        </w:rPr>
        <w:t>2</w:t>
      </w:r>
      <w:r w:rsidRPr="00F63701">
        <w:rPr>
          <w:rFonts w:ascii="仿宋_GB2312" w:eastAsia="仿宋_GB2312" w:hAnsi="仿宋" w:cs="仿宋" w:hint="eastAsia"/>
          <w:b/>
          <w:sz w:val="28"/>
          <w:szCs w:val="28"/>
        </w:rPr>
        <w:t>）</w:t>
      </w:r>
      <w:r w:rsidR="00AB454A" w:rsidRPr="00F63701">
        <w:rPr>
          <w:rFonts w:ascii="仿宋_GB2312" w:eastAsia="仿宋_GB2312" w:hAnsi="仿宋" w:cs="仿宋" w:hint="eastAsia"/>
          <w:b/>
          <w:sz w:val="28"/>
          <w:szCs w:val="28"/>
        </w:rPr>
        <w:t>固定资产投资增幅创17</w:t>
      </w:r>
      <w:r w:rsidR="005647D9">
        <w:rPr>
          <w:rFonts w:ascii="仿宋_GB2312" w:eastAsia="仿宋_GB2312" w:hAnsi="仿宋" w:cs="仿宋" w:hint="eastAsia"/>
          <w:b/>
          <w:sz w:val="28"/>
          <w:szCs w:val="28"/>
        </w:rPr>
        <w:t>年新高。</w:t>
      </w:r>
      <w:r w:rsidR="00AB454A" w:rsidRPr="00F63701">
        <w:rPr>
          <w:rFonts w:ascii="仿宋_GB2312" w:eastAsia="仿宋_GB2312" w:hAnsi="仿宋" w:cs="仿宋" w:hint="eastAsia"/>
          <w:sz w:val="28"/>
          <w:szCs w:val="28"/>
        </w:rPr>
        <w:t>全年全市固定资产投资</w:t>
      </w:r>
      <w:r w:rsidR="00AB454A" w:rsidRPr="00F63701">
        <w:rPr>
          <w:rFonts w:ascii="仿宋_GB2312" w:eastAsia="仿宋_GB2312" w:hAnsi="仿宋" w:cs="仿宋" w:hint="eastAsia"/>
          <w:sz w:val="28"/>
          <w:szCs w:val="28"/>
        </w:rPr>
        <w:lastRenderedPageBreak/>
        <w:t>3298.31亿元，增长21.4%，增速创自1999年以来连续17年新高，分别高出全国和全省11.4和5.6个百分点，其中城市更新改造投资573.02亿元，增长43.1%，占固定资产投资比重17.4%，同比提高2.7个百分点。房地产开发项目投资1331.03亿元，增长24.5%；非房地产开发项目投资1967.27亿元，增长19.4%；</w:t>
      </w:r>
    </w:p>
    <w:p w:rsidR="00363C01" w:rsidRPr="00F63701" w:rsidRDefault="00D342FA" w:rsidP="00D342FA">
      <w:pPr>
        <w:ind w:firstLineChars="200" w:firstLine="562"/>
        <w:rPr>
          <w:rFonts w:ascii="仿宋_GB2312" w:eastAsia="仿宋_GB2312" w:hAnsi="仿宋" w:cs="仿宋"/>
          <w:sz w:val="28"/>
          <w:szCs w:val="28"/>
        </w:rPr>
      </w:pPr>
      <w:r w:rsidRPr="00F63701">
        <w:rPr>
          <w:rFonts w:ascii="仿宋_GB2312" w:eastAsia="仿宋_GB2312" w:hAnsi="仿宋" w:cs="仿宋" w:hint="eastAsia"/>
          <w:b/>
          <w:sz w:val="28"/>
          <w:szCs w:val="28"/>
        </w:rPr>
        <w:t>（</w:t>
      </w:r>
      <w:r w:rsidR="00AB454A" w:rsidRPr="00F63701">
        <w:rPr>
          <w:rFonts w:ascii="仿宋_GB2312" w:eastAsia="仿宋_GB2312" w:hAnsi="仿宋" w:cs="仿宋" w:hint="eastAsia"/>
          <w:b/>
          <w:sz w:val="28"/>
          <w:szCs w:val="28"/>
        </w:rPr>
        <w:t>3</w:t>
      </w:r>
      <w:r w:rsidRPr="00F63701">
        <w:rPr>
          <w:rFonts w:ascii="仿宋_GB2312" w:eastAsia="仿宋_GB2312" w:hAnsi="仿宋" w:cs="仿宋" w:hint="eastAsia"/>
          <w:b/>
          <w:sz w:val="28"/>
          <w:szCs w:val="28"/>
        </w:rPr>
        <w:t>）</w:t>
      </w:r>
      <w:r w:rsidR="00AB454A" w:rsidRPr="00F63701">
        <w:rPr>
          <w:rFonts w:ascii="仿宋_GB2312" w:eastAsia="仿宋_GB2312" w:hAnsi="仿宋" w:cs="仿宋" w:hint="eastAsia"/>
          <w:b/>
          <w:sz w:val="28"/>
          <w:szCs w:val="28"/>
        </w:rPr>
        <w:t>绿色建筑与建筑工业化。</w:t>
      </w:r>
      <w:r w:rsidR="00AB454A" w:rsidRPr="00F63701">
        <w:rPr>
          <w:rFonts w:ascii="仿宋_GB2312" w:eastAsia="仿宋_GB2312" w:hAnsi="仿宋" w:cs="仿宋" w:hint="eastAsia"/>
          <w:sz w:val="28"/>
          <w:szCs w:val="28"/>
        </w:rPr>
        <w:t>绿色建筑与建筑节能减</w:t>
      </w:r>
      <w:proofErr w:type="gramStart"/>
      <w:r w:rsidR="00AB454A" w:rsidRPr="00F63701">
        <w:rPr>
          <w:rFonts w:ascii="仿宋_GB2312" w:eastAsia="仿宋_GB2312" w:hAnsi="仿宋" w:cs="仿宋" w:hint="eastAsia"/>
          <w:sz w:val="28"/>
          <w:szCs w:val="28"/>
        </w:rPr>
        <w:t>排工作</w:t>
      </w:r>
      <w:proofErr w:type="gramEnd"/>
      <w:r w:rsidR="00AB454A" w:rsidRPr="00F63701">
        <w:rPr>
          <w:rFonts w:ascii="仿宋_GB2312" w:eastAsia="仿宋_GB2312" w:hAnsi="仿宋" w:cs="仿宋" w:hint="eastAsia"/>
          <w:sz w:val="28"/>
          <w:szCs w:val="28"/>
        </w:rPr>
        <w:t>继续稳居全国前列。新增节能建筑面积超过1993万平方米；新增绿色评价标识项目112个，新增绿色建筑面积1137万平方米。太阳能热水建筑应用面积规模超过1500万平方米、太阳能光电装机容量46.8兆瓦。建成投入使用的建筑废物综合利用项目由5个增加至6个，建筑废弃物综合处理能力由520万吨提升至620万吨，全年共处理建筑废弃物约500万吨，新增6个建筑工业化示范基地和1个示范项目，华阳国际成为全国首家被授予“国家住宅产业化基地”的设计型企业</w:t>
      </w:r>
      <w:r w:rsidRPr="00F63701">
        <w:rPr>
          <w:rFonts w:ascii="仿宋_GB2312" w:eastAsia="仿宋_GB2312" w:hAnsi="仿宋" w:cs="仿宋" w:hint="eastAsia"/>
          <w:sz w:val="28"/>
          <w:szCs w:val="28"/>
        </w:rPr>
        <w:t>。</w:t>
      </w:r>
    </w:p>
    <w:p w:rsidR="00363C01" w:rsidRPr="00F63701" w:rsidRDefault="00790AF3" w:rsidP="00790AF3">
      <w:pPr>
        <w:ind w:firstLineChars="200" w:firstLine="562"/>
        <w:rPr>
          <w:rFonts w:ascii="仿宋_GB2312" w:eastAsia="仿宋_GB2312" w:hAnsi="仿宋" w:cs="仿宋"/>
          <w:sz w:val="28"/>
          <w:szCs w:val="28"/>
        </w:rPr>
      </w:pPr>
      <w:bookmarkStart w:id="1" w:name="_Toc6485"/>
      <w:bookmarkStart w:id="2" w:name="_Toc30151"/>
      <w:bookmarkStart w:id="3" w:name="_Toc19868"/>
      <w:r w:rsidRPr="00F63701">
        <w:rPr>
          <w:rFonts w:ascii="仿宋_GB2312" w:eastAsia="仿宋_GB2312" w:hAnsi="仿宋" w:cs="仿宋" w:hint="eastAsia"/>
          <w:b/>
          <w:sz w:val="28"/>
          <w:szCs w:val="28"/>
        </w:rPr>
        <w:t>（4）建筑</w:t>
      </w:r>
      <w:r w:rsidR="00AB454A" w:rsidRPr="00F63701">
        <w:rPr>
          <w:rFonts w:ascii="仿宋_GB2312" w:eastAsia="仿宋_GB2312" w:hAnsi="仿宋" w:cs="仿宋" w:hint="eastAsia"/>
          <w:b/>
          <w:sz w:val="28"/>
          <w:szCs w:val="28"/>
        </w:rPr>
        <w:t>市场竞争激烈。</w:t>
      </w:r>
      <w:r w:rsidR="00AB454A" w:rsidRPr="00F63701">
        <w:rPr>
          <w:rFonts w:ascii="仿宋_GB2312" w:eastAsia="仿宋_GB2312" w:hAnsi="仿宋" w:cs="仿宋" w:hint="eastAsia"/>
          <w:sz w:val="28"/>
          <w:szCs w:val="28"/>
        </w:rPr>
        <w:t>本市建筑企业2098家（包括</w:t>
      </w:r>
      <w:r w:rsidRPr="00F63701">
        <w:rPr>
          <w:rFonts w:ascii="仿宋_GB2312" w:eastAsia="仿宋_GB2312" w:hAnsi="仿宋" w:cs="仿宋" w:hint="eastAsia"/>
          <w:sz w:val="28"/>
          <w:szCs w:val="28"/>
        </w:rPr>
        <w:t>本</w:t>
      </w:r>
      <w:r w:rsidR="00AB454A" w:rsidRPr="00F63701">
        <w:rPr>
          <w:rFonts w:ascii="仿宋_GB2312" w:eastAsia="仿宋_GB2312" w:hAnsi="仿宋" w:cs="仿宋" w:hint="eastAsia"/>
          <w:sz w:val="28"/>
          <w:szCs w:val="28"/>
        </w:rPr>
        <w:t>市外省内企业和外省企业），从总体上看，无论是从业主体数量还是生产能力上均已经严重过剩，“僧多粥少”将会成为长期的态势</w:t>
      </w:r>
      <w:r w:rsidRPr="00F63701">
        <w:rPr>
          <w:rFonts w:ascii="仿宋_GB2312" w:eastAsia="仿宋_GB2312" w:hAnsi="仿宋" w:cs="仿宋" w:hint="eastAsia"/>
          <w:sz w:val="28"/>
          <w:szCs w:val="28"/>
        </w:rPr>
        <w:t>。</w:t>
      </w:r>
    </w:p>
    <w:p w:rsidR="00363C01" w:rsidRDefault="00790AF3" w:rsidP="00790AF3">
      <w:pPr>
        <w:ind w:firstLineChars="200" w:firstLine="562"/>
        <w:rPr>
          <w:rFonts w:ascii="仿宋_GB2312" w:eastAsia="仿宋_GB2312" w:hAnsi="仿宋" w:cs="仿宋"/>
          <w:sz w:val="28"/>
          <w:szCs w:val="28"/>
        </w:rPr>
      </w:pPr>
      <w:r w:rsidRPr="00F63701">
        <w:rPr>
          <w:rFonts w:ascii="仿宋_GB2312" w:eastAsia="仿宋_GB2312" w:hAnsi="仿宋" w:cs="仿宋" w:hint="eastAsia"/>
          <w:b/>
          <w:sz w:val="28"/>
          <w:szCs w:val="28"/>
        </w:rPr>
        <w:t>（5）企业</w:t>
      </w:r>
      <w:r w:rsidR="00AB454A" w:rsidRPr="00F63701">
        <w:rPr>
          <w:rFonts w:ascii="仿宋_GB2312" w:eastAsia="仿宋_GB2312" w:hAnsi="仿宋" w:cs="仿宋" w:hint="eastAsia"/>
          <w:b/>
          <w:sz w:val="28"/>
          <w:szCs w:val="28"/>
        </w:rPr>
        <w:t>经营压力加大。</w:t>
      </w:r>
      <w:r w:rsidR="00AB454A" w:rsidRPr="00F63701">
        <w:rPr>
          <w:rFonts w:ascii="仿宋_GB2312" w:eastAsia="仿宋_GB2312" w:hAnsi="仿宋" w:cs="仿宋" w:hint="eastAsia"/>
          <w:sz w:val="28"/>
          <w:szCs w:val="28"/>
        </w:rPr>
        <w:t>人力等成本要素不断上升影响建筑业的发展，由于建筑业人力资源投入大，人工成本高严重影响着企业的利润和竞争力。同时随着经济发展和劳务工人保障福利的完善，人工成本得以不断上升，低人工成本不再是建筑业竞争优势，产值利润率低，无发展后劲</w:t>
      </w:r>
      <w:r w:rsidRPr="00F63701">
        <w:rPr>
          <w:rFonts w:ascii="仿宋_GB2312" w:eastAsia="仿宋_GB2312" w:hAnsi="仿宋" w:cs="仿宋" w:hint="eastAsia"/>
          <w:sz w:val="28"/>
          <w:szCs w:val="28"/>
        </w:rPr>
        <w:t>。</w:t>
      </w:r>
    </w:p>
    <w:p w:rsidR="005647D9" w:rsidRPr="00F63701" w:rsidRDefault="005647D9" w:rsidP="005647D9">
      <w:pPr>
        <w:ind w:firstLineChars="200" w:firstLine="560"/>
        <w:rPr>
          <w:rFonts w:ascii="仿宋_GB2312" w:eastAsia="仿宋_GB2312" w:hAnsi="仿宋" w:cs="仿宋"/>
          <w:sz w:val="28"/>
          <w:szCs w:val="28"/>
        </w:rPr>
      </w:pPr>
    </w:p>
    <w:p w:rsidR="00363C01" w:rsidRPr="00F63701" w:rsidRDefault="00790AF3" w:rsidP="00790AF3">
      <w:pPr>
        <w:ind w:firstLineChars="200" w:firstLine="562"/>
        <w:rPr>
          <w:rFonts w:ascii="仿宋_GB2312" w:eastAsia="仿宋_GB2312" w:hAnsi="仿宋" w:cs="仿宋"/>
          <w:b/>
          <w:sz w:val="28"/>
          <w:szCs w:val="28"/>
        </w:rPr>
      </w:pPr>
      <w:bookmarkStart w:id="4" w:name="_Toc19506"/>
      <w:bookmarkStart w:id="5" w:name="_Toc23938"/>
      <w:bookmarkStart w:id="6" w:name="_Toc13283"/>
      <w:bookmarkEnd w:id="1"/>
      <w:bookmarkEnd w:id="2"/>
      <w:bookmarkEnd w:id="3"/>
      <w:r w:rsidRPr="00F63701">
        <w:rPr>
          <w:rFonts w:ascii="仿宋_GB2312" w:eastAsia="仿宋_GB2312" w:hAnsi="仿宋" w:cs="仿宋" w:hint="eastAsia"/>
          <w:b/>
          <w:sz w:val="28"/>
          <w:szCs w:val="28"/>
        </w:rPr>
        <w:lastRenderedPageBreak/>
        <w:t>（6）国内国际市场拓展能力不足</w:t>
      </w:r>
      <w:bookmarkEnd w:id="4"/>
      <w:bookmarkEnd w:id="5"/>
      <w:bookmarkEnd w:id="6"/>
    </w:p>
    <w:p w:rsidR="00363C01" w:rsidRDefault="00AB454A" w:rsidP="00044181">
      <w:pPr>
        <w:ind w:firstLineChars="200" w:firstLine="560"/>
        <w:rPr>
          <w:rFonts w:ascii="仿宋_GB2312" w:eastAsia="仿宋_GB2312" w:hAnsi="仿宋" w:cs="仿宋"/>
          <w:sz w:val="28"/>
          <w:szCs w:val="28"/>
        </w:rPr>
      </w:pPr>
      <w:r w:rsidRPr="00F63701">
        <w:rPr>
          <w:rFonts w:ascii="仿宋_GB2312" w:eastAsia="仿宋_GB2312" w:hAnsi="仿宋" w:cs="仿宋" w:hint="eastAsia"/>
          <w:sz w:val="28"/>
          <w:szCs w:val="28"/>
        </w:rPr>
        <w:t>本市建筑</w:t>
      </w:r>
      <w:r w:rsidR="00DB13D8" w:rsidRPr="00F63701">
        <w:rPr>
          <w:rFonts w:ascii="仿宋_GB2312" w:eastAsia="仿宋_GB2312" w:hAnsi="仿宋" w:cs="仿宋" w:hint="eastAsia"/>
          <w:sz w:val="28"/>
          <w:szCs w:val="28"/>
        </w:rPr>
        <w:t>企业</w:t>
      </w:r>
      <w:r w:rsidRPr="00F63701">
        <w:rPr>
          <w:rFonts w:ascii="仿宋_GB2312" w:eastAsia="仿宋_GB2312" w:hAnsi="仿宋" w:cs="仿宋" w:hint="eastAsia"/>
          <w:sz w:val="28"/>
          <w:szCs w:val="28"/>
        </w:rPr>
        <w:t>在国际市场中占有率极少，本市企业中总承包特级企业只有3家，所占市场份额不足6%。</w:t>
      </w:r>
    </w:p>
    <w:p w:rsidR="005647D9" w:rsidRPr="00F63701" w:rsidRDefault="005647D9" w:rsidP="005647D9">
      <w:pPr>
        <w:ind w:firstLineChars="200" w:firstLine="562"/>
        <w:rPr>
          <w:rFonts w:ascii="仿宋_GB2312" w:eastAsia="仿宋_GB2312" w:hAnsi="仿宋" w:cs="仿宋"/>
          <w:b/>
          <w:bCs/>
          <w:sz w:val="28"/>
          <w:szCs w:val="28"/>
        </w:rPr>
      </w:pPr>
      <w:r w:rsidRPr="00F63701">
        <w:rPr>
          <w:rFonts w:ascii="仿宋_GB2312" w:eastAsia="仿宋_GB2312" w:hAnsi="仿宋" w:cs="仿宋" w:hint="eastAsia"/>
          <w:b/>
          <w:kern w:val="0"/>
          <w:sz w:val="28"/>
          <w:szCs w:val="28"/>
        </w:rPr>
        <w:t>（五）</w:t>
      </w:r>
      <w:r>
        <w:rPr>
          <w:rFonts w:ascii="仿宋_GB2312" w:eastAsia="仿宋_GB2312" w:hAnsi="仿宋" w:cs="仿宋" w:hint="eastAsia"/>
          <w:b/>
          <w:bCs/>
          <w:sz w:val="28"/>
          <w:szCs w:val="28"/>
        </w:rPr>
        <w:t>天津</w:t>
      </w:r>
      <w:r w:rsidRPr="00F63701">
        <w:rPr>
          <w:rFonts w:ascii="仿宋_GB2312" w:eastAsia="仿宋_GB2312" w:hAnsi="仿宋" w:cs="仿宋" w:hint="eastAsia"/>
          <w:b/>
          <w:bCs/>
          <w:sz w:val="28"/>
          <w:szCs w:val="28"/>
        </w:rPr>
        <w:t>市</w:t>
      </w:r>
    </w:p>
    <w:p w:rsidR="005647D9" w:rsidRDefault="005647D9" w:rsidP="005647D9">
      <w:pPr>
        <w:ind w:firstLineChars="200" w:firstLine="562"/>
        <w:rPr>
          <w:rFonts w:ascii="仿宋_GB2312" w:eastAsia="仿宋_GB2312" w:hAnsi="仿宋" w:cs="仿宋"/>
          <w:b/>
          <w:bCs/>
          <w:sz w:val="28"/>
          <w:szCs w:val="28"/>
        </w:rPr>
      </w:pPr>
      <w:r w:rsidRPr="00AE752D">
        <w:rPr>
          <w:rFonts w:ascii="仿宋_GB2312" w:eastAsia="仿宋_GB2312" w:hAnsi="仿宋" w:cs="仿宋" w:hint="eastAsia"/>
          <w:b/>
          <w:bCs/>
          <w:sz w:val="28"/>
          <w:szCs w:val="28"/>
        </w:rPr>
        <w:t>1、企业经营情况</w:t>
      </w:r>
    </w:p>
    <w:p w:rsidR="005647D9" w:rsidRPr="005647D9" w:rsidRDefault="005647D9" w:rsidP="005647D9">
      <w:pPr>
        <w:ind w:firstLineChars="200" w:firstLine="560"/>
        <w:rPr>
          <w:rFonts w:ascii="仿宋_GB2312" w:eastAsia="仿宋_GB2312" w:hAnsi="仿宋" w:cs="仿宋"/>
          <w:sz w:val="28"/>
          <w:szCs w:val="28"/>
        </w:rPr>
      </w:pPr>
      <w:r w:rsidRPr="005647D9">
        <w:rPr>
          <w:rFonts w:ascii="仿宋_GB2312" w:eastAsia="仿宋_GB2312" w:hAnsi="仿宋" w:cs="仿宋" w:hint="eastAsia"/>
          <w:sz w:val="28"/>
          <w:szCs w:val="28"/>
        </w:rPr>
        <w:t>2015年，天津市建筑业各集团完成建筑业总产值2062.21亿元，比2014年增加132.97亿元，增长6.9%。</w:t>
      </w:r>
      <w:r>
        <w:rPr>
          <w:rFonts w:ascii="仿宋" w:eastAsia="仿宋" w:hAnsi="仿宋" w:cs="仿宋" w:hint="eastAsia"/>
          <w:bCs/>
          <w:sz w:val="32"/>
          <w:szCs w:val="32"/>
        </w:rPr>
        <w:t>全市城乡建设固定资产投资保持平稳，完成投资4100亿元，占全市固定资产投资的28.1%；建筑业企业建筑施工能力继续保持稳步增加，新开工5000万平方米，竣工4600万平方米，在</w:t>
      </w:r>
      <w:proofErr w:type="gramStart"/>
      <w:r>
        <w:rPr>
          <w:rFonts w:ascii="仿宋" w:eastAsia="仿宋" w:hAnsi="仿宋" w:cs="仿宋" w:hint="eastAsia"/>
          <w:bCs/>
          <w:sz w:val="32"/>
          <w:szCs w:val="32"/>
        </w:rPr>
        <w:t>施面积</w:t>
      </w:r>
      <w:proofErr w:type="gramEnd"/>
      <w:r>
        <w:rPr>
          <w:rFonts w:ascii="仿宋" w:eastAsia="仿宋" w:hAnsi="仿宋" w:cs="仿宋" w:hint="eastAsia"/>
          <w:bCs/>
          <w:sz w:val="32"/>
          <w:szCs w:val="32"/>
        </w:rPr>
        <w:t>1.3亿平方米。</w:t>
      </w:r>
    </w:p>
    <w:p w:rsidR="005647D9" w:rsidRPr="00F63701" w:rsidRDefault="005647D9" w:rsidP="005647D9">
      <w:pPr>
        <w:ind w:firstLineChars="200" w:firstLine="562"/>
        <w:rPr>
          <w:rFonts w:ascii="仿宋_GB2312" w:eastAsia="仿宋_GB2312" w:hAnsi="仿宋" w:cs="仿宋"/>
          <w:b/>
          <w:bCs/>
          <w:sz w:val="28"/>
          <w:szCs w:val="28"/>
        </w:rPr>
      </w:pPr>
      <w:r w:rsidRPr="00F63701">
        <w:rPr>
          <w:rFonts w:ascii="仿宋_GB2312" w:eastAsia="仿宋_GB2312" w:hAnsi="仿宋" w:cs="仿宋" w:hint="eastAsia"/>
          <w:b/>
          <w:bCs/>
          <w:sz w:val="28"/>
          <w:szCs w:val="28"/>
        </w:rPr>
        <w:t>2、行业发展特点及存在主要问题</w:t>
      </w:r>
    </w:p>
    <w:p w:rsidR="005647D9" w:rsidRPr="005647D9" w:rsidRDefault="005647D9" w:rsidP="005647D9">
      <w:pPr>
        <w:pStyle w:val="ab"/>
        <w:ind w:firstLineChars="200" w:firstLine="562"/>
        <w:outlineLvl w:val="2"/>
        <w:rPr>
          <w:rFonts w:ascii="仿宋_GB2312" w:eastAsia="仿宋_GB2312" w:hAnsi="仿宋"/>
          <w:b/>
          <w:sz w:val="32"/>
          <w:szCs w:val="32"/>
        </w:rPr>
      </w:pPr>
      <w:bookmarkStart w:id="7" w:name="_Toc280705800"/>
      <w:bookmarkStart w:id="8" w:name="_Toc281393973"/>
      <w:bookmarkStart w:id="9" w:name="_Toc281394183"/>
      <w:bookmarkStart w:id="10" w:name="_Toc281395340"/>
      <w:bookmarkStart w:id="11" w:name="_Toc281395564"/>
      <w:r>
        <w:rPr>
          <w:rFonts w:ascii="仿宋_GB2312" w:eastAsia="仿宋_GB2312" w:hAnsi="仿宋" w:cs="仿宋" w:hint="eastAsia"/>
          <w:b/>
          <w:color w:val="auto"/>
          <w:sz w:val="28"/>
          <w:szCs w:val="28"/>
        </w:rPr>
        <w:t>（1）</w:t>
      </w:r>
      <w:r w:rsidRPr="005647D9">
        <w:rPr>
          <w:rFonts w:ascii="仿宋_GB2312" w:eastAsia="仿宋_GB2312" w:hAnsi="仿宋" w:cs="仿宋" w:hint="eastAsia"/>
          <w:b/>
          <w:color w:val="auto"/>
          <w:sz w:val="28"/>
          <w:szCs w:val="28"/>
        </w:rPr>
        <w:t>进一步规范建设市场经营秩序，强化事中事后监管</w:t>
      </w:r>
      <w:r>
        <w:rPr>
          <w:rFonts w:ascii="仿宋_GB2312" w:eastAsia="仿宋_GB2312" w:hAnsi="仿宋" w:hint="eastAsia"/>
          <w:b/>
          <w:sz w:val="32"/>
          <w:szCs w:val="32"/>
        </w:rPr>
        <w:t>。</w:t>
      </w:r>
      <w:r w:rsidRPr="005647D9">
        <w:rPr>
          <w:rFonts w:ascii="仿宋_GB2312" w:eastAsia="仿宋_GB2312" w:hAnsi="仿宋" w:cs="仿宋" w:hint="eastAsia"/>
          <w:color w:val="auto"/>
          <w:sz w:val="28"/>
          <w:szCs w:val="28"/>
        </w:rPr>
        <w:t>建立市区（县）建委联席会议制度，每季度召开一次，研究解决制约市场监管疑难问题20余个，强化市场事中事后管理水平提升。从净化市场的角度，为企业创造更多发展空间，出台《关于进一步推动我市建筑市场统一开放相关工作的通知》，废除外地进津</w:t>
      </w:r>
      <w:proofErr w:type="gramStart"/>
      <w:r w:rsidRPr="005647D9">
        <w:rPr>
          <w:rFonts w:ascii="仿宋_GB2312" w:eastAsia="仿宋_GB2312" w:hAnsi="仿宋" w:cs="仿宋" w:hint="eastAsia"/>
          <w:color w:val="auto"/>
          <w:sz w:val="28"/>
          <w:szCs w:val="28"/>
        </w:rPr>
        <w:t>备案压证制度</w:t>
      </w:r>
      <w:proofErr w:type="gramEnd"/>
      <w:r w:rsidRPr="005647D9">
        <w:rPr>
          <w:rFonts w:ascii="仿宋_GB2312" w:eastAsia="仿宋_GB2312" w:hAnsi="仿宋" w:cs="仿宋" w:hint="eastAsia"/>
          <w:color w:val="auto"/>
          <w:sz w:val="28"/>
          <w:szCs w:val="28"/>
        </w:rPr>
        <w:t>，取消各区县制度壁垒，鼓励更多的优秀施工企业进入天津市场，杜绝恶性竞争的市场行为，筑牢事中事后监管的制度基础。加快执业人员信用评价办法研究，信用管理从企业</w:t>
      </w:r>
      <w:proofErr w:type="gramStart"/>
      <w:r w:rsidRPr="005647D9">
        <w:rPr>
          <w:rFonts w:ascii="仿宋_GB2312" w:eastAsia="仿宋_GB2312" w:hAnsi="仿宋" w:cs="仿宋" w:hint="eastAsia"/>
          <w:color w:val="auto"/>
          <w:sz w:val="28"/>
          <w:szCs w:val="28"/>
        </w:rPr>
        <w:t>向人员</w:t>
      </w:r>
      <w:proofErr w:type="gramEnd"/>
      <w:r w:rsidRPr="005647D9">
        <w:rPr>
          <w:rFonts w:ascii="仿宋_GB2312" w:eastAsia="仿宋_GB2312" w:hAnsi="仿宋" w:cs="仿宋" w:hint="eastAsia"/>
          <w:color w:val="auto"/>
          <w:sz w:val="28"/>
          <w:szCs w:val="28"/>
        </w:rPr>
        <w:t>拓展；建立标后合同履约情况的跟踪监控机制，规范承发包各方主体行为；建立市区两级建筑市场信用评价管理体系，营造诚信褒奖和失信惩戒的环境；运用网络科</w:t>
      </w:r>
      <w:r w:rsidRPr="005647D9">
        <w:rPr>
          <w:rFonts w:ascii="仿宋_GB2312" w:eastAsia="仿宋_GB2312" w:hAnsi="仿宋" w:cs="仿宋" w:hint="eastAsia"/>
          <w:color w:val="auto"/>
          <w:sz w:val="28"/>
          <w:szCs w:val="28"/>
        </w:rPr>
        <w:lastRenderedPageBreak/>
        <w:t>技推广“一控、四监管”的模式，实现市场与现场联动、市区两级联管，进一步增强了建筑市场事中事后监管的可操作性。</w:t>
      </w:r>
    </w:p>
    <w:p w:rsidR="005647D9" w:rsidRPr="005647D9" w:rsidRDefault="005647D9" w:rsidP="005647D9">
      <w:pPr>
        <w:pStyle w:val="ab"/>
        <w:ind w:firstLineChars="200" w:firstLine="562"/>
        <w:outlineLvl w:val="2"/>
        <w:rPr>
          <w:rFonts w:ascii="仿宋_GB2312" w:eastAsia="仿宋_GB2312" w:hAnsi="仿宋" w:cs="仿宋"/>
          <w:b/>
          <w:color w:val="auto"/>
          <w:sz w:val="28"/>
          <w:szCs w:val="28"/>
        </w:rPr>
      </w:pPr>
      <w:r w:rsidRPr="005647D9">
        <w:rPr>
          <w:rFonts w:ascii="仿宋_GB2312" w:eastAsia="仿宋_GB2312" w:hAnsi="仿宋" w:cs="仿宋" w:hint="eastAsia"/>
          <w:b/>
          <w:color w:val="auto"/>
          <w:sz w:val="28"/>
          <w:szCs w:val="28"/>
        </w:rPr>
        <w:t>（2）创新招投标监管模式，实施招投标全过程监管</w:t>
      </w:r>
      <w:r>
        <w:rPr>
          <w:rFonts w:ascii="仿宋_GB2312" w:eastAsia="仿宋_GB2312" w:hAnsi="仿宋" w:cs="仿宋" w:hint="eastAsia"/>
          <w:b/>
          <w:color w:val="auto"/>
          <w:sz w:val="28"/>
          <w:szCs w:val="28"/>
        </w:rPr>
        <w:t>。</w:t>
      </w:r>
      <w:r w:rsidRPr="005647D9">
        <w:rPr>
          <w:rFonts w:ascii="仿宋_GB2312" w:eastAsia="仿宋_GB2312" w:hAnsi="仿宋" w:cs="仿宋" w:hint="eastAsia"/>
          <w:color w:val="auto"/>
          <w:sz w:val="28"/>
          <w:szCs w:val="28"/>
        </w:rPr>
        <w:t>按照市委的统一部署，我们对十八大以来4177项典型项目建设手续进行梳理，出台了我市加强财政资金建设项目招投标监管工作的意见，建立了六项长效机制，堵塞了漏洞。深化招投标系统软件开发，基本实现了从招标公告报名、辅助评标、中标结果备案等环节的电子化管理，进一步规范招投标程序。建立了招投标关键节点预警监控系统，严格约束了招投标各方行为，降低人为因素对评标的影响，保证优秀企业以合理价格中标。深入项目现场，促进全运会场馆、第四中学迁建、供热</w:t>
      </w:r>
      <w:proofErr w:type="gramStart"/>
      <w:r w:rsidRPr="005647D9">
        <w:rPr>
          <w:rFonts w:ascii="仿宋_GB2312" w:eastAsia="仿宋_GB2312" w:hAnsi="仿宋" w:cs="仿宋" w:hint="eastAsia"/>
          <w:color w:val="auto"/>
          <w:sz w:val="28"/>
          <w:szCs w:val="28"/>
        </w:rPr>
        <w:t>改燃等一批</w:t>
      </w:r>
      <w:proofErr w:type="gramEnd"/>
      <w:r w:rsidRPr="005647D9">
        <w:rPr>
          <w:rFonts w:ascii="仿宋_GB2312" w:eastAsia="仿宋_GB2312" w:hAnsi="仿宋" w:cs="仿宋" w:hint="eastAsia"/>
          <w:color w:val="auto"/>
          <w:sz w:val="28"/>
          <w:szCs w:val="28"/>
        </w:rPr>
        <w:t>重点工程项目依法合</w:t>
      </w:r>
      <w:proofErr w:type="gramStart"/>
      <w:r w:rsidRPr="005647D9">
        <w:rPr>
          <w:rFonts w:ascii="仿宋_GB2312" w:eastAsia="仿宋_GB2312" w:hAnsi="仿宋" w:cs="仿宋" w:hint="eastAsia"/>
          <w:color w:val="auto"/>
          <w:sz w:val="28"/>
          <w:szCs w:val="28"/>
        </w:rPr>
        <w:t>规</w:t>
      </w:r>
      <w:proofErr w:type="gramEnd"/>
      <w:r w:rsidRPr="005647D9">
        <w:rPr>
          <w:rFonts w:ascii="仿宋_GB2312" w:eastAsia="仿宋_GB2312" w:hAnsi="仿宋" w:cs="仿宋" w:hint="eastAsia"/>
          <w:color w:val="auto"/>
          <w:sz w:val="28"/>
          <w:szCs w:val="28"/>
        </w:rPr>
        <w:t>按时开工建设。全年累计完成招标6992项，中标金额1399.32亿元；合同备案5859项，合同金额1194.23亿元；工程担保739项，担保金额57.49亿元。</w:t>
      </w:r>
    </w:p>
    <w:p w:rsidR="005647D9" w:rsidRPr="005647D9" w:rsidRDefault="005647D9" w:rsidP="005647D9">
      <w:pPr>
        <w:pStyle w:val="ab"/>
        <w:ind w:firstLineChars="200" w:firstLine="560"/>
        <w:outlineLvl w:val="2"/>
        <w:rPr>
          <w:rFonts w:ascii="仿宋_GB2312" w:eastAsia="仿宋_GB2312" w:hAnsi="仿宋" w:cs="仿宋"/>
          <w:color w:val="auto"/>
          <w:sz w:val="28"/>
          <w:szCs w:val="28"/>
        </w:rPr>
      </w:pPr>
      <w:r w:rsidRPr="005647D9">
        <w:rPr>
          <w:rFonts w:ascii="仿宋_GB2312" w:eastAsia="仿宋_GB2312" w:hAnsi="仿宋" w:cs="仿宋" w:hint="eastAsia"/>
          <w:color w:val="auto"/>
          <w:sz w:val="28"/>
          <w:szCs w:val="28"/>
        </w:rPr>
        <w:t>2015年，我市建筑市场信用信息被招投标资信提取30820次，信用等级为A类和B类的企业在投标过程中加分19178次，中标项目2251项，企业守法经营和自律意识进一步增强，建筑市场“奖优罚劣”的市场环境已初步形成。据统计，2015年全年归集各类信用信息20040条。其中，企业工程业绩信息2659条、良好信息3120条、工法技术信息2521条、归集在</w:t>
      </w:r>
      <w:proofErr w:type="gramStart"/>
      <w:r w:rsidRPr="005647D9">
        <w:rPr>
          <w:rFonts w:ascii="仿宋_GB2312" w:eastAsia="仿宋_GB2312" w:hAnsi="仿宋" w:cs="仿宋" w:hint="eastAsia"/>
          <w:color w:val="auto"/>
          <w:sz w:val="28"/>
          <w:szCs w:val="28"/>
        </w:rPr>
        <w:t>施项目</w:t>
      </w:r>
      <w:proofErr w:type="gramEnd"/>
      <w:r w:rsidRPr="005647D9">
        <w:rPr>
          <w:rFonts w:ascii="仿宋_GB2312" w:eastAsia="仿宋_GB2312" w:hAnsi="仿宋" w:cs="仿宋" w:hint="eastAsia"/>
          <w:color w:val="auto"/>
          <w:sz w:val="28"/>
          <w:szCs w:val="28"/>
        </w:rPr>
        <w:t>2522项，在</w:t>
      </w:r>
      <w:proofErr w:type="gramStart"/>
      <w:r w:rsidRPr="005647D9">
        <w:rPr>
          <w:rFonts w:ascii="仿宋_GB2312" w:eastAsia="仿宋_GB2312" w:hAnsi="仿宋" w:cs="仿宋" w:hint="eastAsia"/>
          <w:color w:val="auto"/>
          <w:sz w:val="28"/>
          <w:szCs w:val="28"/>
        </w:rPr>
        <w:t>施项目</w:t>
      </w:r>
      <w:proofErr w:type="gramEnd"/>
      <w:r w:rsidRPr="005647D9">
        <w:rPr>
          <w:rFonts w:ascii="仿宋_GB2312" w:eastAsia="仿宋_GB2312" w:hAnsi="仿宋" w:cs="仿宋" w:hint="eastAsia"/>
          <w:color w:val="auto"/>
          <w:sz w:val="28"/>
          <w:szCs w:val="28"/>
        </w:rPr>
        <w:t>检查记录9218条。</w:t>
      </w:r>
    </w:p>
    <w:bookmarkEnd w:id="7"/>
    <w:bookmarkEnd w:id="8"/>
    <w:bookmarkEnd w:id="9"/>
    <w:bookmarkEnd w:id="10"/>
    <w:bookmarkEnd w:id="11"/>
    <w:p w:rsidR="005647D9" w:rsidRPr="005647D9" w:rsidRDefault="005647D9" w:rsidP="005647D9">
      <w:pPr>
        <w:tabs>
          <w:tab w:val="left" w:pos="3000"/>
        </w:tabs>
        <w:snapToGrid w:val="0"/>
        <w:spacing w:line="600" w:lineRule="exact"/>
        <w:ind w:firstLineChars="200" w:firstLine="562"/>
        <w:rPr>
          <w:rFonts w:ascii="仿宋_GB2312" w:eastAsia="仿宋_GB2312" w:hAnsi="仿宋" w:cs="仿宋"/>
          <w:b/>
          <w:sz w:val="28"/>
          <w:szCs w:val="28"/>
        </w:rPr>
      </w:pPr>
      <w:r w:rsidRPr="005647D9">
        <w:rPr>
          <w:rFonts w:ascii="仿宋_GB2312" w:eastAsia="仿宋_GB2312" w:hAnsi="仿宋" w:cs="仿宋" w:hint="eastAsia"/>
          <w:b/>
          <w:sz w:val="28"/>
          <w:szCs w:val="28"/>
        </w:rPr>
        <w:t>（3）关注建筑业农民工，保障合法权益不受侵害</w:t>
      </w:r>
      <w:r>
        <w:rPr>
          <w:rFonts w:ascii="仿宋_GB2312" w:eastAsia="仿宋_GB2312" w:hAnsi="仿宋" w:cs="仿宋" w:hint="eastAsia"/>
          <w:b/>
          <w:sz w:val="28"/>
          <w:szCs w:val="28"/>
        </w:rPr>
        <w:t>。</w:t>
      </w:r>
      <w:r w:rsidRPr="005647D9">
        <w:rPr>
          <w:rFonts w:ascii="仿宋_GB2312" w:eastAsia="仿宋_GB2312" w:hAnsi="仿宋" w:cs="仿宋" w:hint="eastAsia"/>
          <w:sz w:val="28"/>
          <w:szCs w:val="28"/>
        </w:rPr>
        <w:t>落实实名制等建筑业农民工三项管理制度，受理解决农民工劳务费投诉97件，</w:t>
      </w:r>
      <w:r w:rsidRPr="005647D9">
        <w:rPr>
          <w:rFonts w:ascii="仿宋_GB2312" w:eastAsia="仿宋_GB2312" w:hAnsi="仿宋" w:cs="仿宋" w:hint="eastAsia"/>
          <w:sz w:val="28"/>
          <w:szCs w:val="28"/>
        </w:rPr>
        <w:lastRenderedPageBreak/>
        <w:t>涉案金额6687万元，有力地保护了农民工的合法权益。在中铁十八局、中南建筑等单位，开展有技术专长农民工向合同制工人转化试点工作，在就业组织、社会保障、技能培训等方面积累了工作经验。全年建成国家电网客</w:t>
      </w:r>
      <w:proofErr w:type="gramStart"/>
      <w:r w:rsidRPr="005647D9">
        <w:rPr>
          <w:rFonts w:ascii="仿宋_GB2312" w:eastAsia="仿宋_GB2312" w:hAnsi="仿宋" w:cs="仿宋" w:hint="eastAsia"/>
          <w:sz w:val="28"/>
          <w:szCs w:val="28"/>
        </w:rPr>
        <w:t>服中心</w:t>
      </w:r>
      <w:proofErr w:type="gramEnd"/>
      <w:r w:rsidRPr="005647D9">
        <w:rPr>
          <w:rFonts w:ascii="仿宋_GB2312" w:eastAsia="仿宋_GB2312" w:hAnsi="仿宋" w:cs="仿宋" w:hint="eastAsia"/>
          <w:sz w:val="28"/>
          <w:szCs w:val="28"/>
        </w:rPr>
        <w:t>北方基地（一期）工程项目、滨海总医院项目等非永久标准化农民工公寓120处。多层次开展农民工实用技能培训，全年完成农民工培训10万人次。五是组织开展职业技能大赛全市18个分赛区、近万名一线技术工人参与了技能比赛活动，选拔出81名优胜选手，为举办第六届建筑业职业技能大赛决赛打下基础。</w:t>
      </w:r>
    </w:p>
    <w:p w:rsidR="005647D9" w:rsidRPr="005647D9" w:rsidRDefault="005647D9" w:rsidP="005647D9">
      <w:pPr>
        <w:tabs>
          <w:tab w:val="left" w:pos="3000"/>
        </w:tabs>
        <w:snapToGrid w:val="0"/>
        <w:spacing w:line="600" w:lineRule="exact"/>
        <w:ind w:firstLineChars="200" w:firstLine="562"/>
        <w:rPr>
          <w:rFonts w:ascii="仿宋_GB2312" w:eastAsia="仿宋_GB2312" w:hAnsi="仿宋" w:cs="仿宋"/>
          <w:b/>
          <w:sz w:val="28"/>
          <w:szCs w:val="28"/>
        </w:rPr>
      </w:pPr>
      <w:r w:rsidRPr="005647D9">
        <w:rPr>
          <w:rFonts w:ascii="仿宋_GB2312" w:eastAsia="仿宋_GB2312" w:hAnsi="仿宋" w:cs="仿宋" w:hint="eastAsia"/>
          <w:b/>
          <w:sz w:val="28"/>
          <w:szCs w:val="28"/>
        </w:rPr>
        <w:t>（4）进一步加强市场执法监察力度，保障安全生产责任落实</w:t>
      </w:r>
      <w:r>
        <w:rPr>
          <w:rFonts w:ascii="仿宋_GB2312" w:eastAsia="仿宋_GB2312" w:hAnsi="仿宋" w:cs="仿宋" w:hint="eastAsia"/>
          <w:b/>
          <w:sz w:val="28"/>
          <w:szCs w:val="28"/>
        </w:rPr>
        <w:t>。</w:t>
      </w:r>
      <w:r w:rsidRPr="005647D9">
        <w:rPr>
          <w:rFonts w:ascii="仿宋_GB2312" w:eastAsia="仿宋_GB2312" w:hAnsi="仿宋" w:cs="仿宋" w:hint="eastAsia"/>
          <w:sz w:val="28"/>
          <w:szCs w:val="28"/>
        </w:rPr>
        <w:t>印发《天津市建筑市场执法检查办法》，并建成我市建筑市场执法监察工作平台，统一全市执法检查程序、检查内容和处罚标准，</w:t>
      </w:r>
      <w:proofErr w:type="gramStart"/>
      <w:r w:rsidRPr="005647D9">
        <w:rPr>
          <w:rFonts w:ascii="仿宋_GB2312" w:eastAsia="仿宋_GB2312" w:hAnsi="仿宋" w:cs="仿宋" w:hint="eastAsia"/>
          <w:sz w:val="28"/>
          <w:szCs w:val="28"/>
        </w:rPr>
        <w:t>邀请住</w:t>
      </w:r>
      <w:proofErr w:type="gramEnd"/>
      <w:r w:rsidRPr="005647D9">
        <w:rPr>
          <w:rFonts w:ascii="仿宋_GB2312" w:eastAsia="仿宋_GB2312" w:hAnsi="仿宋" w:cs="仿宋" w:hint="eastAsia"/>
          <w:sz w:val="28"/>
          <w:szCs w:val="28"/>
        </w:rPr>
        <w:t>建部专家就建筑市场违法违规行为认定标准进行讲解，提高执法监察人员素质水平。在深入开展工程质量治理两年行动过程中，市区两级建筑市场监察部门加强日常巡查，检查工程项目2857项次，企业2801家次，查处存在违法行为的项目330个，涉及企业507家次，共处罚款1086.17万元。开展全市建筑市场专项检查，抽查在施建筑工程62项，针对发现的问题，对20家企业给予通报批评，约谈了8家企业的负责人，营造了依法打击建筑市场违法违规行为的强大声势，保障了建筑市场规范运行和建设项目质量安全。</w:t>
      </w:r>
    </w:p>
    <w:p w:rsidR="00363C01" w:rsidRPr="00F63701" w:rsidRDefault="00DB13D8" w:rsidP="00DB13D8">
      <w:pPr>
        <w:rPr>
          <w:rFonts w:ascii="仿宋_GB2312" w:eastAsia="仿宋_GB2312" w:hAnsi="仿宋" w:cs="仿宋"/>
          <w:b/>
          <w:bCs/>
          <w:sz w:val="28"/>
          <w:szCs w:val="28"/>
        </w:rPr>
      </w:pPr>
      <w:r w:rsidRPr="00F63701">
        <w:rPr>
          <w:rFonts w:ascii="仿宋_GB2312" w:eastAsia="仿宋_GB2312" w:hAnsi="仿宋" w:cs="仿宋" w:hint="eastAsia"/>
          <w:b/>
          <w:bCs/>
          <w:sz w:val="28"/>
          <w:szCs w:val="28"/>
        </w:rPr>
        <w:t xml:space="preserve">   四、抽样行业2015年度企业</w:t>
      </w:r>
      <w:r w:rsidR="00AB454A" w:rsidRPr="00F63701">
        <w:rPr>
          <w:rFonts w:ascii="仿宋_GB2312" w:eastAsia="仿宋_GB2312" w:hAnsi="仿宋" w:cs="仿宋" w:hint="eastAsia"/>
          <w:b/>
          <w:bCs/>
          <w:sz w:val="28"/>
          <w:szCs w:val="28"/>
        </w:rPr>
        <w:t>经营</w:t>
      </w:r>
      <w:r w:rsidRPr="00F63701">
        <w:rPr>
          <w:rFonts w:ascii="仿宋_GB2312" w:eastAsia="仿宋_GB2312" w:hAnsi="仿宋" w:cs="仿宋" w:hint="eastAsia"/>
          <w:b/>
          <w:bCs/>
          <w:sz w:val="28"/>
          <w:szCs w:val="28"/>
        </w:rPr>
        <w:t>情况</w:t>
      </w:r>
    </w:p>
    <w:p w:rsidR="00363C01" w:rsidRPr="00F63701" w:rsidRDefault="00DB13D8" w:rsidP="00DB13D8">
      <w:pPr>
        <w:rPr>
          <w:rFonts w:ascii="仿宋_GB2312" w:eastAsia="仿宋_GB2312" w:hAnsi="仿宋" w:cs="仿宋"/>
          <w:b/>
          <w:sz w:val="28"/>
          <w:szCs w:val="28"/>
        </w:rPr>
      </w:pPr>
      <w:r w:rsidRPr="00F63701">
        <w:rPr>
          <w:rFonts w:ascii="仿宋_GB2312" w:eastAsia="仿宋_GB2312" w:hAnsi="仿宋" w:cs="仿宋" w:hint="eastAsia"/>
          <w:b/>
          <w:sz w:val="28"/>
          <w:szCs w:val="28"/>
        </w:rPr>
        <w:t xml:space="preserve">   （一）</w:t>
      </w:r>
      <w:r w:rsidR="00AB454A" w:rsidRPr="00F63701">
        <w:rPr>
          <w:rFonts w:ascii="仿宋_GB2312" w:eastAsia="仿宋_GB2312" w:hAnsi="仿宋" w:cs="仿宋" w:hint="eastAsia"/>
          <w:b/>
          <w:sz w:val="28"/>
          <w:szCs w:val="28"/>
        </w:rPr>
        <w:t>电力建设行业经营</w:t>
      </w:r>
      <w:r w:rsidR="00CF5A6D" w:rsidRPr="00F63701">
        <w:rPr>
          <w:rFonts w:ascii="仿宋_GB2312" w:eastAsia="仿宋_GB2312" w:hAnsi="仿宋" w:cs="仿宋" w:hint="eastAsia"/>
          <w:b/>
          <w:sz w:val="28"/>
          <w:szCs w:val="28"/>
        </w:rPr>
        <w:t>情况</w:t>
      </w:r>
    </w:p>
    <w:p w:rsidR="00363C01" w:rsidRPr="00F63701" w:rsidRDefault="00AB454A" w:rsidP="00044181">
      <w:pPr>
        <w:ind w:firstLineChars="200" w:firstLine="560"/>
        <w:rPr>
          <w:rFonts w:ascii="仿宋_GB2312" w:eastAsia="仿宋_GB2312" w:hAnsi="仿宋" w:cs="仿宋"/>
          <w:b/>
          <w:sz w:val="28"/>
          <w:szCs w:val="28"/>
        </w:rPr>
      </w:pPr>
      <w:r w:rsidRPr="00F63701">
        <w:rPr>
          <w:rFonts w:ascii="仿宋_GB2312" w:eastAsia="仿宋_GB2312" w:hAnsi="仿宋" w:cs="仿宋" w:hint="eastAsia"/>
          <w:sz w:val="28"/>
          <w:szCs w:val="28"/>
        </w:rPr>
        <w:t>截止2015年末，电力建设行业中的施工企业统计对象共115家。其中，水电28家（中国水电股份18家、葛洲坝集团8家、其他水电</w:t>
      </w:r>
      <w:r w:rsidRPr="00F63701">
        <w:rPr>
          <w:rFonts w:ascii="仿宋_GB2312" w:eastAsia="仿宋_GB2312" w:hAnsi="仿宋" w:cs="仿宋" w:hint="eastAsia"/>
          <w:sz w:val="28"/>
          <w:szCs w:val="28"/>
        </w:rPr>
        <w:lastRenderedPageBreak/>
        <w:t>2家）；火电53家（中国电建21家、中国能建29家、内蒙古3家）；送变电34家（国家电网28家、</w:t>
      </w:r>
      <w:proofErr w:type="gramStart"/>
      <w:r w:rsidRPr="00F63701">
        <w:rPr>
          <w:rFonts w:ascii="仿宋_GB2312" w:eastAsia="仿宋_GB2312" w:hAnsi="仿宋" w:cs="仿宋" w:hint="eastAsia"/>
          <w:sz w:val="28"/>
          <w:szCs w:val="28"/>
        </w:rPr>
        <w:t>中国南网5家</w:t>
      </w:r>
      <w:proofErr w:type="gramEnd"/>
      <w:r w:rsidRPr="00F63701">
        <w:rPr>
          <w:rFonts w:ascii="仿宋_GB2312" w:eastAsia="仿宋_GB2312" w:hAnsi="仿宋" w:cs="仿宋" w:hint="eastAsia"/>
          <w:sz w:val="28"/>
          <w:szCs w:val="28"/>
        </w:rPr>
        <w:t>、内蒙古1家）。115家施工企业分别隶属于中国电建集团、中国能建集团、国家电网公司、中国南方电网公司和内蒙古电力等企业。</w:t>
      </w:r>
    </w:p>
    <w:p w:rsidR="00363C01" w:rsidRPr="00F63701" w:rsidRDefault="00DB13D8">
      <w:pPr>
        <w:ind w:firstLineChars="200" w:firstLine="562"/>
        <w:rPr>
          <w:rFonts w:ascii="仿宋_GB2312" w:eastAsia="仿宋_GB2312" w:hAnsi="仿宋" w:cs="仿宋"/>
          <w:b/>
          <w:sz w:val="28"/>
          <w:szCs w:val="28"/>
        </w:rPr>
      </w:pPr>
      <w:r w:rsidRPr="00F63701">
        <w:rPr>
          <w:rFonts w:ascii="仿宋_GB2312" w:eastAsia="仿宋_GB2312" w:hAnsi="仿宋" w:cs="仿宋" w:hint="eastAsia"/>
          <w:b/>
          <w:sz w:val="28"/>
          <w:szCs w:val="28"/>
        </w:rPr>
        <w:t>1、</w:t>
      </w:r>
      <w:r w:rsidR="00AB454A" w:rsidRPr="00F63701">
        <w:rPr>
          <w:rFonts w:ascii="仿宋_GB2312" w:eastAsia="仿宋_GB2312" w:hAnsi="仿宋" w:cs="仿宋" w:hint="eastAsia"/>
          <w:b/>
          <w:sz w:val="28"/>
          <w:szCs w:val="28"/>
        </w:rPr>
        <w:t>营业收入</w:t>
      </w:r>
    </w:p>
    <w:p w:rsidR="00363C01" w:rsidRPr="00F63701" w:rsidRDefault="00AB454A" w:rsidP="00DB13D8">
      <w:pPr>
        <w:ind w:firstLineChars="200" w:firstLine="560"/>
        <w:rPr>
          <w:rFonts w:ascii="仿宋_GB2312" w:eastAsia="仿宋_GB2312" w:hAnsi="仿宋" w:cs="仿宋"/>
          <w:sz w:val="28"/>
          <w:szCs w:val="28"/>
        </w:rPr>
      </w:pPr>
      <w:r w:rsidRPr="00F63701">
        <w:rPr>
          <w:rFonts w:ascii="仿宋_GB2312" w:eastAsia="仿宋_GB2312" w:hAnsi="仿宋" w:cs="仿宋" w:hint="eastAsia"/>
          <w:sz w:val="28"/>
          <w:szCs w:val="28"/>
        </w:rPr>
        <w:t>2015年，行业完成总营业收入3148亿元，同比降低1.84%。水电施工企业2015年总营业收入1611亿元，同比持平</w:t>
      </w:r>
      <w:r w:rsidR="00DB13D8" w:rsidRPr="00F63701">
        <w:rPr>
          <w:rFonts w:ascii="仿宋_GB2312" w:eastAsia="仿宋_GB2312" w:hAnsi="仿宋" w:cs="仿宋" w:hint="eastAsia"/>
          <w:sz w:val="28"/>
          <w:szCs w:val="28"/>
        </w:rPr>
        <w:t>；</w:t>
      </w:r>
      <w:r w:rsidRPr="00F63701">
        <w:rPr>
          <w:rFonts w:ascii="仿宋_GB2312" w:eastAsia="仿宋_GB2312" w:hAnsi="仿宋" w:cs="仿宋" w:hint="eastAsia"/>
          <w:sz w:val="28"/>
          <w:szCs w:val="28"/>
        </w:rPr>
        <w:t>火电施工企业2015年总营业收入1034亿元，同比增长4.87%</w:t>
      </w:r>
      <w:r w:rsidR="00DB13D8" w:rsidRPr="00F63701">
        <w:rPr>
          <w:rFonts w:ascii="仿宋_GB2312" w:eastAsia="仿宋_GB2312" w:hAnsi="仿宋" w:cs="仿宋" w:hint="eastAsia"/>
          <w:sz w:val="28"/>
          <w:szCs w:val="28"/>
        </w:rPr>
        <w:t>；</w:t>
      </w:r>
      <w:r w:rsidRPr="00F63701">
        <w:rPr>
          <w:rFonts w:ascii="仿宋_GB2312" w:eastAsia="仿宋_GB2312" w:hAnsi="仿宋" w:cs="仿宋" w:hint="eastAsia"/>
          <w:sz w:val="28"/>
          <w:szCs w:val="28"/>
        </w:rPr>
        <w:t>送变电施工企业2015年总营业收入503亿元，同比增长1.62%。</w:t>
      </w:r>
    </w:p>
    <w:p w:rsidR="00363C01" w:rsidRPr="00F63701" w:rsidRDefault="00DB13D8">
      <w:pPr>
        <w:widowControl/>
        <w:shd w:val="clear" w:color="auto" w:fill="FFFFFF"/>
        <w:jc w:val="center"/>
        <w:rPr>
          <w:rFonts w:ascii="仿宋_GB2312" w:eastAsia="仿宋_GB2312" w:hAnsi="仿宋" w:cs="仿宋"/>
          <w:b/>
          <w:sz w:val="28"/>
          <w:szCs w:val="28"/>
        </w:rPr>
      </w:pPr>
      <w:r w:rsidRPr="00F63701">
        <w:rPr>
          <w:rFonts w:ascii="仿宋_GB2312" w:eastAsia="仿宋_GB2312" w:hAnsi="仿宋" w:cs="仿宋" w:hint="eastAsia"/>
          <w:b/>
          <w:sz w:val="28"/>
          <w:szCs w:val="28"/>
        </w:rPr>
        <w:t xml:space="preserve">图 </w:t>
      </w:r>
      <w:r w:rsidR="00AB454A" w:rsidRPr="00F63701">
        <w:rPr>
          <w:rFonts w:ascii="仿宋_GB2312" w:eastAsia="仿宋_GB2312" w:hAnsi="仿宋" w:cs="仿宋" w:hint="eastAsia"/>
          <w:b/>
          <w:sz w:val="28"/>
          <w:szCs w:val="28"/>
        </w:rPr>
        <w:t>2013～2015年营业收入对比图</w:t>
      </w:r>
    </w:p>
    <w:p w:rsidR="00363C01" w:rsidRPr="00F63701" w:rsidRDefault="00363C01">
      <w:pPr>
        <w:ind w:firstLineChars="200" w:firstLine="562"/>
        <w:jc w:val="center"/>
        <w:rPr>
          <w:rFonts w:ascii="仿宋_GB2312" w:eastAsia="仿宋_GB2312" w:hAnsi="仿宋" w:cs="仿宋"/>
          <w:sz w:val="28"/>
          <w:szCs w:val="28"/>
        </w:rPr>
      </w:pPr>
      <w:r w:rsidRPr="00F63701">
        <w:rPr>
          <w:rFonts w:ascii="仿宋_GB2312" w:eastAsia="仿宋_GB2312" w:hAnsi="仿宋" w:cs="仿宋" w:hint="eastAsia"/>
          <w:b/>
          <w:sz w:val="28"/>
          <w:szCs w:val="28"/>
        </w:rPr>
        <w:object w:dxaOrig="12174" w:dyaOrig="5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126pt" o:ole="">
            <v:imagedata r:id="rId14" o:title=""/>
          </v:shape>
          <o:OLEObject Type="Embed" ProgID="MSGraph.Chart.8" ShapeID="_x0000_i1025" DrawAspect="Content" ObjectID="_1523078487" r:id="rId15"/>
        </w:object>
      </w:r>
    </w:p>
    <w:p w:rsidR="00363C01" w:rsidRPr="00F63701" w:rsidRDefault="00DB13D8">
      <w:pPr>
        <w:ind w:firstLineChars="200" w:firstLine="562"/>
        <w:rPr>
          <w:rFonts w:ascii="仿宋_GB2312" w:eastAsia="仿宋_GB2312" w:hAnsi="仿宋" w:cs="仿宋"/>
          <w:b/>
          <w:sz w:val="28"/>
          <w:szCs w:val="28"/>
        </w:rPr>
      </w:pPr>
      <w:r w:rsidRPr="00F63701">
        <w:rPr>
          <w:rFonts w:ascii="仿宋_GB2312" w:eastAsia="仿宋_GB2312" w:hAnsi="仿宋" w:cs="仿宋" w:hint="eastAsia"/>
          <w:b/>
          <w:sz w:val="28"/>
          <w:szCs w:val="28"/>
        </w:rPr>
        <w:t>2、</w:t>
      </w:r>
      <w:r w:rsidR="00AB454A" w:rsidRPr="00F63701">
        <w:rPr>
          <w:rFonts w:ascii="仿宋_GB2312" w:eastAsia="仿宋_GB2312" w:hAnsi="仿宋" w:cs="仿宋" w:hint="eastAsia"/>
          <w:b/>
          <w:sz w:val="28"/>
          <w:szCs w:val="28"/>
        </w:rPr>
        <w:t>境外营业额</w:t>
      </w:r>
    </w:p>
    <w:p w:rsidR="00363C01" w:rsidRPr="00F63701" w:rsidRDefault="00AB454A" w:rsidP="00DB13D8">
      <w:pPr>
        <w:ind w:firstLineChars="200" w:firstLine="560"/>
        <w:rPr>
          <w:rFonts w:ascii="仿宋_GB2312" w:eastAsia="仿宋_GB2312" w:hAnsi="仿宋" w:cs="仿宋"/>
          <w:sz w:val="28"/>
          <w:szCs w:val="28"/>
        </w:rPr>
      </w:pPr>
      <w:r w:rsidRPr="00F63701">
        <w:rPr>
          <w:rFonts w:ascii="仿宋_GB2312" w:eastAsia="仿宋_GB2312" w:hAnsi="仿宋" w:cs="仿宋" w:hint="eastAsia"/>
          <w:sz w:val="28"/>
          <w:szCs w:val="28"/>
        </w:rPr>
        <w:t>2015年,施工企业实现境外营业额794亿元，同比增长14.57%。水电施工企业2015年境外营业额510亿元，同比增长13.59%</w:t>
      </w:r>
      <w:r w:rsidR="00DB13D8" w:rsidRPr="00F63701">
        <w:rPr>
          <w:rFonts w:ascii="仿宋_GB2312" w:eastAsia="仿宋_GB2312" w:hAnsi="仿宋" w:cs="仿宋" w:hint="eastAsia"/>
          <w:sz w:val="28"/>
          <w:szCs w:val="28"/>
        </w:rPr>
        <w:t>；</w:t>
      </w:r>
      <w:r w:rsidRPr="00F63701">
        <w:rPr>
          <w:rFonts w:ascii="仿宋_GB2312" w:eastAsia="仿宋_GB2312" w:hAnsi="仿宋" w:cs="仿宋" w:hint="eastAsia"/>
          <w:sz w:val="28"/>
          <w:szCs w:val="28"/>
        </w:rPr>
        <w:t>火电施工企业2015年境外营业额270亿元，同比增长14.89%</w:t>
      </w:r>
      <w:r w:rsidR="00DB13D8" w:rsidRPr="00F63701">
        <w:rPr>
          <w:rFonts w:ascii="仿宋_GB2312" w:eastAsia="仿宋_GB2312" w:hAnsi="仿宋" w:cs="仿宋" w:hint="eastAsia"/>
          <w:sz w:val="28"/>
          <w:szCs w:val="28"/>
        </w:rPr>
        <w:t>；</w:t>
      </w:r>
      <w:r w:rsidRPr="00F63701">
        <w:rPr>
          <w:rFonts w:ascii="仿宋_GB2312" w:eastAsia="仿宋_GB2312" w:hAnsi="仿宋" w:cs="仿宋" w:hint="eastAsia"/>
          <w:sz w:val="28"/>
          <w:szCs w:val="28"/>
        </w:rPr>
        <w:t>送变电施工企业2015年境外营业额14亿元，同比增长57.30%。</w:t>
      </w:r>
    </w:p>
    <w:p w:rsidR="00363C01" w:rsidRPr="00F63701" w:rsidRDefault="00DB13D8">
      <w:pPr>
        <w:widowControl/>
        <w:shd w:val="clear" w:color="auto" w:fill="FFFFFF"/>
        <w:jc w:val="center"/>
        <w:rPr>
          <w:rFonts w:ascii="仿宋_GB2312" w:eastAsia="仿宋_GB2312" w:hAnsi="仿宋" w:cs="仿宋"/>
          <w:b/>
          <w:sz w:val="28"/>
          <w:szCs w:val="28"/>
        </w:rPr>
      </w:pPr>
      <w:r w:rsidRPr="00F63701">
        <w:rPr>
          <w:rFonts w:ascii="仿宋_GB2312" w:eastAsia="仿宋_GB2312" w:hAnsi="仿宋" w:cs="仿宋" w:hint="eastAsia"/>
          <w:b/>
          <w:sz w:val="28"/>
          <w:szCs w:val="28"/>
        </w:rPr>
        <w:t xml:space="preserve">图 </w:t>
      </w:r>
      <w:r w:rsidR="00AB454A" w:rsidRPr="00F63701">
        <w:rPr>
          <w:rFonts w:ascii="仿宋_GB2312" w:eastAsia="仿宋_GB2312" w:hAnsi="仿宋" w:cs="仿宋" w:hint="eastAsia"/>
          <w:b/>
          <w:sz w:val="28"/>
          <w:szCs w:val="28"/>
        </w:rPr>
        <w:t>2013～2015年境外营业额对比图</w:t>
      </w:r>
    </w:p>
    <w:p w:rsidR="00363C01" w:rsidRPr="00F63701" w:rsidRDefault="00363C01">
      <w:pPr>
        <w:widowControl/>
        <w:shd w:val="clear" w:color="auto" w:fill="FFFFFF"/>
        <w:jc w:val="center"/>
        <w:rPr>
          <w:rFonts w:ascii="仿宋_GB2312" w:eastAsia="仿宋_GB2312" w:hAnsi="仿宋" w:cs="仿宋"/>
          <w:b/>
          <w:sz w:val="28"/>
          <w:szCs w:val="28"/>
        </w:rPr>
      </w:pPr>
      <w:r w:rsidRPr="00F63701">
        <w:rPr>
          <w:rFonts w:ascii="仿宋_GB2312" w:eastAsia="仿宋_GB2312" w:hAnsi="仿宋" w:cs="仿宋" w:hint="eastAsia"/>
          <w:b/>
          <w:sz w:val="28"/>
          <w:szCs w:val="28"/>
        </w:rPr>
        <w:object w:dxaOrig="12194" w:dyaOrig="5160">
          <v:shape id="_x0000_i1026" type="#_x0000_t75" style="width:365.25pt;height:160.5pt" o:ole="">
            <v:imagedata r:id="rId16" o:title=""/>
          </v:shape>
          <o:OLEObject Type="Embed" ProgID="MSGraph.Chart.8" ShapeID="_x0000_i1026" DrawAspect="Content" ObjectID="_1523078488" r:id="rId17"/>
        </w:object>
      </w:r>
    </w:p>
    <w:p w:rsidR="00363C01" w:rsidRPr="00F63701" w:rsidRDefault="00363C01" w:rsidP="00044181">
      <w:pPr>
        <w:ind w:firstLineChars="200" w:firstLine="560"/>
        <w:jc w:val="center"/>
        <w:rPr>
          <w:rFonts w:ascii="仿宋_GB2312" w:eastAsia="仿宋_GB2312" w:hAnsi="仿宋" w:cs="仿宋"/>
          <w:sz w:val="28"/>
          <w:szCs w:val="28"/>
        </w:rPr>
      </w:pPr>
    </w:p>
    <w:p w:rsidR="00363C01" w:rsidRPr="00F63701" w:rsidRDefault="00DB13D8">
      <w:pPr>
        <w:ind w:firstLineChars="200" w:firstLine="562"/>
        <w:rPr>
          <w:rFonts w:ascii="仿宋_GB2312" w:eastAsia="仿宋_GB2312" w:hAnsi="仿宋" w:cs="仿宋"/>
          <w:b/>
          <w:sz w:val="28"/>
          <w:szCs w:val="28"/>
        </w:rPr>
      </w:pPr>
      <w:r w:rsidRPr="00F63701">
        <w:rPr>
          <w:rFonts w:ascii="仿宋_GB2312" w:eastAsia="仿宋_GB2312" w:hAnsi="仿宋" w:cs="仿宋" w:hint="eastAsia"/>
          <w:b/>
          <w:sz w:val="28"/>
          <w:szCs w:val="28"/>
        </w:rPr>
        <w:t>3</w:t>
      </w:r>
      <w:r w:rsidR="00AB454A" w:rsidRPr="00F63701">
        <w:rPr>
          <w:rFonts w:ascii="仿宋_GB2312" w:eastAsia="仿宋_GB2312" w:hAnsi="仿宋" w:cs="仿宋" w:hint="eastAsia"/>
          <w:b/>
          <w:sz w:val="28"/>
          <w:szCs w:val="28"/>
        </w:rPr>
        <w:t>、合同额</w:t>
      </w:r>
    </w:p>
    <w:p w:rsidR="00363C01" w:rsidRPr="00F63701" w:rsidRDefault="0027102D" w:rsidP="00DB13D8">
      <w:pPr>
        <w:ind w:firstLineChars="200" w:firstLine="562"/>
        <w:rPr>
          <w:rFonts w:ascii="仿宋_GB2312" w:eastAsia="仿宋_GB2312" w:hAnsi="仿宋" w:cs="仿宋"/>
          <w:sz w:val="28"/>
          <w:szCs w:val="28"/>
        </w:rPr>
      </w:pPr>
      <w:r>
        <w:rPr>
          <w:rFonts w:ascii="仿宋_GB2312" w:eastAsia="仿宋_GB2312" w:hAnsi="仿宋" w:cs="仿宋"/>
          <w:b/>
          <w:sz w:val="28"/>
          <w:szCs w:val="28"/>
        </w:rPr>
        <w:pict>
          <v:shape id="Picture 5" o:spid="_x0000_s1026" type="#_x0000_t75" style="position:absolute;left:0;text-align:left;margin-left:31.15pt;margin-top:200.55pt;width:429.55pt;height:138.8pt;z-index:251659264">
            <v:imagedata r:id="rId18" o:title=""/>
            <w10:wrap type="square" side="right"/>
          </v:shape>
          <o:OLEObject Type="Embed" ProgID="MSGraph.Chart.8" ShapeID="Picture 5" DrawAspect="Content" ObjectID="_1523078491" r:id="rId19"/>
        </w:pict>
      </w:r>
      <w:r w:rsidR="00AB454A" w:rsidRPr="00F63701">
        <w:rPr>
          <w:rFonts w:ascii="仿宋_GB2312" w:eastAsia="仿宋_GB2312" w:hAnsi="仿宋" w:cs="仿宋" w:hint="eastAsia"/>
          <w:sz w:val="28"/>
          <w:szCs w:val="28"/>
        </w:rPr>
        <w:t>2015年，施工企业合同存量8411亿元，其中本年新签4008亿元，同比分别增长6.32%和15.50%，其中：水电施工企业合同存量5352亿元，其中本年新签2362亿元</w:t>
      </w:r>
      <w:r w:rsidR="00DB13D8" w:rsidRPr="00F63701">
        <w:rPr>
          <w:rFonts w:ascii="仿宋_GB2312" w:eastAsia="仿宋_GB2312" w:hAnsi="仿宋" w:cs="仿宋" w:hint="eastAsia"/>
          <w:sz w:val="28"/>
          <w:szCs w:val="28"/>
        </w:rPr>
        <w:t>；</w:t>
      </w:r>
      <w:r w:rsidR="00AB454A" w:rsidRPr="00F63701">
        <w:rPr>
          <w:rFonts w:ascii="仿宋_GB2312" w:eastAsia="仿宋_GB2312" w:hAnsi="仿宋" w:cs="仿宋" w:hint="eastAsia"/>
          <w:sz w:val="28"/>
          <w:szCs w:val="28"/>
        </w:rPr>
        <w:t>火电施工企业合同存量2212亿元，其中本年新签1149亿元</w:t>
      </w:r>
      <w:r w:rsidR="00DB13D8" w:rsidRPr="00F63701">
        <w:rPr>
          <w:rFonts w:ascii="仿宋_GB2312" w:eastAsia="仿宋_GB2312" w:hAnsi="仿宋" w:cs="仿宋" w:hint="eastAsia"/>
          <w:sz w:val="28"/>
          <w:szCs w:val="28"/>
        </w:rPr>
        <w:t>；</w:t>
      </w:r>
      <w:r w:rsidR="00AB454A" w:rsidRPr="00F63701">
        <w:rPr>
          <w:rFonts w:ascii="仿宋_GB2312" w:eastAsia="仿宋_GB2312" w:hAnsi="仿宋" w:cs="仿宋" w:hint="eastAsia"/>
          <w:sz w:val="28"/>
          <w:szCs w:val="28"/>
        </w:rPr>
        <w:t>送变电施工企业合同存量847亿元，其中本年新签497亿元。</w:t>
      </w:r>
    </w:p>
    <w:p w:rsidR="00363C01" w:rsidRPr="00F63701" w:rsidRDefault="00DB13D8">
      <w:pPr>
        <w:widowControl/>
        <w:shd w:val="clear" w:color="auto" w:fill="FFFFFF"/>
        <w:jc w:val="center"/>
        <w:rPr>
          <w:rFonts w:ascii="仿宋_GB2312" w:eastAsia="仿宋_GB2312" w:hAnsi="仿宋" w:cs="仿宋"/>
          <w:b/>
          <w:sz w:val="28"/>
          <w:szCs w:val="28"/>
        </w:rPr>
      </w:pPr>
      <w:r w:rsidRPr="00F63701">
        <w:rPr>
          <w:rFonts w:ascii="仿宋_GB2312" w:eastAsia="仿宋_GB2312" w:hAnsi="仿宋" w:cs="仿宋" w:hint="eastAsia"/>
          <w:b/>
          <w:sz w:val="28"/>
          <w:szCs w:val="28"/>
        </w:rPr>
        <w:t xml:space="preserve">图 </w:t>
      </w:r>
      <w:r w:rsidR="00AB454A" w:rsidRPr="00F63701">
        <w:rPr>
          <w:rFonts w:ascii="仿宋_GB2312" w:eastAsia="仿宋_GB2312" w:hAnsi="仿宋" w:cs="仿宋" w:hint="eastAsia"/>
          <w:b/>
          <w:sz w:val="28"/>
          <w:szCs w:val="28"/>
        </w:rPr>
        <w:t>2011～2015年新签订合同额及增速图</w:t>
      </w:r>
    </w:p>
    <w:p w:rsidR="00363C01" w:rsidRPr="00F63701" w:rsidRDefault="00363C01" w:rsidP="00044181">
      <w:pPr>
        <w:ind w:firstLineChars="200" w:firstLine="560"/>
        <w:jc w:val="center"/>
        <w:rPr>
          <w:rFonts w:ascii="仿宋_GB2312" w:eastAsia="仿宋_GB2312" w:hAnsi="仿宋" w:cs="仿宋"/>
          <w:sz w:val="28"/>
          <w:szCs w:val="28"/>
        </w:rPr>
      </w:pPr>
    </w:p>
    <w:p w:rsidR="00363C01" w:rsidRPr="00F63701" w:rsidRDefault="00DB13D8">
      <w:pPr>
        <w:ind w:firstLineChars="200" w:firstLine="562"/>
        <w:rPr>
          <w:rFonts w:ascii="仿宋_GB2312" w:eastAsia="仿宋_GB2312" w:hAnsi="仿宋" w:cs="仿宋"/>
          <w:b/>
          <w:sz w:val="28"/>
          <w:szCs w:val="28"/>
        </w:rPr>
      </w:pPr>
      <w:r w:rsidRPr="00F63701">
        <w:rPr>
          <w:rFonts w:ascii="仿宋_GB2312" w:eastAsia="仿宋_GB2312" w:hAnsi="仿宋" w:cs="仿宋" w:hint="eastAsia"/>
          <w:b/>
          <w:sz w:val="28"/>
          <w:szCs w:val="28"/>
        </w:rPr>
        <w:t>4、</w:t>
      </w:r>
      <w:r w:rsidR="00AB454A" w:rsidRPr="00F63701">
        <w:rPr>
          <w:rFonts w:ascii="仿宋_GB2312" w:eastAsia="仿宋_GB2312" w:hAnsi="仿宋" w:cs="仿宋" w:hint="eastAsia"/>
          <w:b/>
          <w:sz w:val="28"/>
          <w:szCs w:val="28"/>
        </w:rPr>
        <w:t>利润及税金</w:t>
      </w:r>
    </w:p>
    <w:p w:rsidR="00363C01" w:rsidRPr="00F63701" w:rsidRDefault="00AB454A" w:rsidP="00F32A71">
      <w:pPr>
        <w:ind w:firstLineChars="200" w:firstLine="560"/>
        <w:rPr>
          <w:rFonts w:ascii="仿宋_GB2312" w:eastAsia="仿宋_GB2312" w:hAnsi="仿宋" w:cs="仿宋"/>
          <w:sz w:val="28"/>
          <w:szCs w:val="28"/>
        </w:rPr>
      </w:pPr>
      <w:r w:rsidRPr="00F63701">
        <w:rPr>
          <w:rFonts w:ascii="仿宋_GB2312" w:eastAsia="仿宋_GB2312" w:hAnsi="仿宋" w:cs="仿宋" w:hint="eastAsia"/>
          <w:sz w:val="28"/>
          <w:szCs w:val="28"/>
        </w:rPr>
        <w:t>2015年，施工企业实现利润总额67.57亿元，同比降低10.29%。实现营业税及附加76.01亿元，同比降低1.97%。水电施工企业2015</w:t>
      </w:r>
      <w:r w:rsidRPr="00F63701">
        <w:rPr>
          <w:rFonts w:ascii="仿宋_GB2312" w:eastAsia="仿宋_GB2312" w:hAnsi="仿宋" w:cs="仿宋" w:hint="eastAsia"/>
          <w:sz w:val="28"/>
          <w:szCs w:val="28"/>
        </w:rPr>
        <w:lastRenderedPageBreak/>
        <w:t>年实现利润48.75亿元，同比降低22.21%。实现营业税及附加44.42亿元，同比降低2.50%</w:t>
      </w:r>
      <w:r w:rsidR="00F32A71" w:rsidRPr="00F63701">
        <w:rPr>
          <w:rFonts w:ascii="仿宋_GB2312" w:eastAsia="仿宋_GB2312" w:hAnsi="仿宋" w:cs="仿宋" w:hint="eastAsia"/>
          <w:sz w:val="28"/>
          <w:szCs w:val="28"/>
        </w:rPr>
        <w:t>；</w:t>
      </w:r>
      <w:r w:rsidRPr="00F63701">
        <w:rPr>
          <w:rFonts w:ascii="仿宋_GB2312" w:eastAsia="仿宋_GB2312" w:hAnsi="仿宋" w:cs="仿宋" w:hint="eastAsia"/>
          <w:sz w:val="28"/>
          <w:szCs w:val="28"/>
        </w:rPr>
        <w:t>火电施工企业2015年实现利润10.69亿元，同比增长79.36%。实现营业税及附加19.56亿元，同比持平</w:t>
      </w:r>
      <w:r w:rsidR="00F32A71" w:rsidRPr="00F63701">
        <w:rPr>
          <w:rFonts w:ascii="仿宋_GB2312" w:eastAsia="仿宋_GB2312" w:hAnsi="仿宋" w:cs="仿宋" w:hint="eastAsia"/>
          <w:sz w:val="28"/>
          <w:szCs w:val="28"/>
        </w:rPr>
        <w:t>；</w:t>
      </w:r>
      <w:r w:rsidRPr="00F63701">
        <w:rPr>
          <w:rFonts w:ascii="仿宋_GB2312" w:eastAsia="仿宋_GB2312" w:hAnsi="仿宋" w:cs="仿宋" w:hint="eastAsia"/>
          <w:sz w:val="28"/>
          <w:szCs w:val="28"/>
        </w:rPr>
        <w:t xml:space="preserve">送变电施工企业2015年实现利润8.13亿元，同比增长21.52%。实现营业税及附加12.04亿元，同比降低4.67%。                                                                                                                                                                                                                                                                                                                                                                                                                                                                                                                                                                                                                                                                                                                                                                                                                                                                                                                                                                                                                                                                                                       </w:t>
      </w:r>
    </w:p>
    <w:p w:rsidR="00363C01" w:rsidRPr="00F63701" w:rsidRDefault="00F32A71">
      <w:pPr>
        <w:widowControl/>
        <w:shd w:val="clear" w:color="auto" w:fill="FFFFFF"/>
        <w:jc w:val="center"/>
        <w:rPr>
          <w:rFonts w:ascii="仿宋_GB2312" w:eastAsia="仿宋_GB2312" w:hAnsi="仿宋" w:cs="仿宋"/>
          <w:b/>
          <w:sz w:val="28"/>
          <w:szCs w:val="28"/>
        </w:rPr>
      </w:pPr>
      <w:r w:rsidRPr="00F63701">
        <w:rPr>
          <w:rFonts w:ascii="仿宋_GB2312" w:eastAsia="仿宋_GB2312" w:hAnsi="仿宋" w:cs="仿宋" w:hint="eastAsia"/>
          <w:b/>
          <w:sz w:val="28"/>
          <w:szCs w:val="28"/>
        </w:rPr>
        <w:t xml:space="preserve">图 </w:t>
      </w:r>
      <w:r w:rsidR="00AB454A" w:rsidRPr="00F63701">
        <w:rPr>
          <w:rFonts w:ascii="仿宋_GB2312" w:eastAsia="仿宋_GB2312" w:hAnsi="仿宋" w:cs="仿宋" w:hint="eastAsia"/>
          <w:b/>
          <w:sz w:val="28"/>
          <w:szCs w:val="28"/>
        </w:rPr>
        <w:t>2013～2015年营业税金及附加对比图</w:t>
      </w:r>
    </w:p>
    <w:p w:rsidR="00363C01" w:rsidRPr="00F63701" w:rsidRDefault="00363C01">
      <w:pPr>
        <w:ind w:firstLineChars="200" w:firstLine="562"/>
        <w:jc w:val="center"/>
        <w:rPr>
          <w:rFonts w:ascii="仿宋_GB2312" w:eastAsia="仿宋_GB2312" w:hAnsi="仿宋" w:cs="仿宋"/>
          <w:sz w:val="28"/>
          <w:szCs w:val="28"/>
        </w:rPr>
      </w:pPr>
      <w:r w:rsidRPr="00F63701">
        <w:rPr>
          <w:rFonts w:ascii="仿宋_GB2312" w:eastAsia="仿宋_GB2312" w:hAnsi="仿宋" w:cs="仿宋" w:hint="eastAsia"/>
          <w:b/>
          <w:sz w:val="28"/>
          <w:szCs w:val="28"/>
        </w:rPr>
        <w:object w:dxaOrig="12474" w:dyaOrig="5440">
          <v:shape id="_x0000_i1027" type="#_x0000_t75" style="width:373.5pt;height:163.5pt" o:ole="">
            <v:imagedata r:id="rId20" o:title=""/>
          </v:shape>
          <o:OLEObject Type="Embed" ProgID="MSGraph.Chart.8" ShapeID="_x0000_i1027" DrawAspect="Content" ObjectID="_1523078489" r:id="rId21"/>
        </w:object>
      </w:r>
    </w:p>
    <w:p w:rsidR="00363C01" w:rsidRPr="00F63701" w:rsidRDefault="00F32A71">
      <w:pPr>
        <w:spacing w:line="600" w:lineRule="exact"/>
        <w:ind w:firstLineChars="200" w:firstLine="562"/>
        <w:rPr>
          <w:rFonts w:ascii="仿宋_GB2312" w:eastAsia="仿宋_GB2312" w:hAnsi="仿宋" w:cs="仿宋"/>
          <w:b/>
          <w:sz w:val="28"/>
          <w:szCs w:val="28"/>
        </w:rPr>
      </w:pPr>
      <w:r w:rsidRPr="00F63701">
        <w:rPr>
          <w:rFonts w:ascii="仿宋_GB2312" w:eastAsia="仿宋_GB2312" w:hAnsi="仿宋" w:cs="仿宋" w:hint="eastAsia"/>
          <w:b/>
          <w:sz w:val="28"/>
          <w:szCs w:val="28"/>
        </w:rPr>
        <w:t>5</w:t>
      </w:r>
      <w:r w:rsidR="00AB454A" w:rsidRPr="00F63701">
        <w:rPr>
          <w:rFonts w:ascii="仿宋_GB2312" w:eastAsia="仿宋_GB2312" w:hAnsi="仿宋" w:cs="仿宋" w:hint="eastAsia"/>
          <w:b/>
          <w:sz w:val="28"/>
          <w:szCs w:val="28"/>
        </w:rPr>
        <w:t xml:space="preserve">、应收工程款                                                                                                                                                                                                                                                                                                                                                                                                                                                                                                                                                                                                                                                                                                                                                                                                                                                                                                                                                                                                                           </w:t>
      </w:r>
    </w:p>
    <w:p w:rsidR="00363C01" w:rsidRPr="00F63701" w:rsidRDefault="00AB454A" w:rsidP="00B92A9E">
      <w:pPr>
        <w:spacing w:line="600" w:lineRule="exact"/>
        <w:ind w:firstLineChars="200" w:firstLine="560"/>
        <w:rPr>
          <w:rFonts w:ascii="仿宋_GB2312" w:eastAsia="仿宋_GB2312" w:hAnsi="仿宋" w:cs="仿宋"/>
          <w:sz w:val="28"/>
          <w:szCs w:val="28"/>
        </w:rPr>
      </w:pPr>
      <w:r w:rsidRPr="00F63701">
        <w:rPr>
          <w:rFonts w:ascii="仿宋_GB2312" w:eastAsia="仿宋_GB2312" w:hAnsi="仿宋" w:cs="仿宋" w:hint="eastAsia"/>
          <w:sz w:val="28"/>
          <w:szCs w:val="28"/>
        </w:rPr>
        <w:t>2015年，施工企业应收工程款826亿元，同比增长33.44%。应收工程款占营业收入的26.23%，比2014年提高了6.20</w:t>
      </w:r>
      <w:r w:rsidR="00B92A9E" w:rsidRPr="00F63701">
        <w:rPr>
          <w:rFonts w:ascii="仿宋_GB2312" w:eastAsia="仿宋_GB2312" w:hAnsi="仿宋" w:cs="仿宋" w:hint="eastAsia"/>
          <w:sz w:val="28"/>
          <w:szCs w:val="28"/>
        </w:rPr>
        <w:t>个百分点。水</w:t>
      </w:r>
      <w:r w:rsidRPr="00F63701">
        <w:rPr>
          <w:rFonts w:ascii="仿宋_GB2312" w:eastAsia="仿宋_GB2312" w:hAnsi="仿宋" w:cs="仿宋" w:hint="eastAsia"/>
          <w:sz w:val="28"/>
          <w:szCs w:val="28"/>
        </w:rPr>
        <w:t>电施工企业应收工程款441亿元，同比增长58.63%。应收工程款占营业收入的27.37%，比2014年提高了10.10个百分点</w:t>
      </w:r>
      <w:r w:rsidR="00B92A9E" w:rsidRPr="00F63701">
        <w:rPr>
          <w:rFonts w:ascii="仿宋_GB2312" w:eastAsia="仿宋_GB2312" w:hAnsi="仿宋" w:cs="仿宋" w:hint="eastAsia"/>
          <w:sz w:val="28"/>
          <w:szCs w:val="28"/>
        </w:rPr>
        <w:t>；</w:t>
      </w:r>
      <w:r w:rsidRPr="00F63701">
        <w:rPr>
          <w:rFonts w:ascii="仿宋_GB2312" w:eastAsia="仿宋_GB2312" w:hAnsi="仿宋" w:cs="仿宋" w:hint="eastAsia"/>
          <w:sz w:val="28"/>
          <w:szCs w:val="28"/>
        </w:rPr>
        <w:t>火电施工企业应收工程款283亿元，同比增长11.86%。应收工程款占营业收入的27.40%，比2014年提高了1.74个百分点</w:t>
      </w:r>
      <w:r w:rsidR="00B92A9E" w:rsidRPr="00F63701">
        <w:rPr>
          <w:rFonts w:ascii="仿宋_GB2312" w:eastAsia="仿宋_GB2312" w:hAnsi="仿宋" w:cs="仿宋" w:hint="eastAsia"/>
          <w:sz w:val="28"/>
          <w:szCs w:val="28"/>
        </w:rPr>
        <w:t>；</w:t>
      </w:r>
      <w:r w:rsidRPr="00F63701">
        <w:rPr>
          <w:rFonts w:ascii="仿宋_GB2312" w:eastAsia="仿宋_GB2312" w:hAnsi="仿宋" w:cs="仿宋" w:hint="eastAsia"/>
          <w:sz w:val="28"/>
          <w:szCs w:val="28"/>
        </w:rPr>
        <w:t>送变电施工企业应收工程款102亿元，同比增长15.91%，应收工程款占营业收入的20.23%，比2014年提高了2.45个百分点。</w:t>
      </w:r>
    </w:p>
    <w:p w:rsidR="00B92A9E" w:rsidRPr="00F63701" w:rsidRDefault="00B92A9E" w:rsidP="00B92A9E">
      <w:pPr>
        <w:spacing w:line="600" w:lineRule="exact"/>
        <w:ind w:firstLineChars="200" w:firstLine="560"/>
        <w:rPr>
          <w:rFonts w:ascii="仿宋_GB2312" w:eastAsia="仿宋_GB2312" w:hAnsi="仿宋" w:cs="仿宋"/>
          <w:sz w:val="28"/>
          <w:szCs w:val="28"/>
        </w:rPr>
      </w:pPr>
    </w:p>
    <w:p w:rsidR="00363C01" w:rsidRPr="00F63701" w:rsidRDefault="00B92A9E">
      <w:pPr>
        <w:widowControl/>
        <w:shd w:val="clear" w:color="auto" w:fill="FFFFFF"/>
        <w:jc w:val="center"/>
        <w:rPr>
          <w:rFonts w:ascii="仿宋_GB2312" w:eastAsia="仿宋_GB2312" w:hAnsi="仿宋" w:cs="仿宋"/>
          <w:b/>
          <w:sz w:val="28"/>
          <w:szCs w:val="28"/>
        </w:rPr>
      </w:pPr>
      <w:r w:rsidRPr="00F63701">
        <w:rPr>
          <w:rFonts w:ascii="仿宋_GB2312" w:eastAsia="仿宋_GB2312" w:hAnsi="仿宋" w:cs="仿宋" w:hint="eastAsia"/>
          <w:b/>
          <w:sz w:val="28"/>
          <w:szCs w:val="28"/>
        </w:rPr>
        <w:t xml:space="preserve">图 </w:t>
      </w:r>
      <w:r w:rsidR="00AB454A" w:rsidRPr="00F63701">
        <w:rPr>
          <w:rFonts w:ascii="仿宋_GB2312" w:eastAsia="仿宋_GB2312" w:hAnsi="仿宋" w:cs="仿宋" w:hint="eastAsia"/>
          <w:b/>
          <w:sz w:val="28"/>
          <w:szCs w:val="28"/>
        </w:rPr>
        <w:t>2013～2015年应收工程款对比图</w:t>
      </w:r>
    </w:p>
    <w:p w:rsidR="00363C01" w:rsidRPr="00F63701" w:rsidRDefault="00363C01">
      <w:pPr>
        <w:rPr>
          <w:rFonts w:ascii="仿宋_GB2312" w:eastAsia="仿宋_GB2312" w:hAnsi="仿宋" w:cs="仿宋"/>
          <w:sz w:val="28"/>
          <w:szCs w:val="28"/>
        </w:rPr>
      </w:pPr>
      <w:r w:rsidRPr="00F63701">
        <w:rPr>
          <w:rFonts w:ascii="仿宋_GB2312" w:eastAsia="仿宋_GB2312" w:hAnsi="仿宋" w:cs="仿宋" w:hint="eastAsia"/>
          <w:b/>
          <w:sz w:val="28"/>
          <w:szCs w:val="28"/>
        </w:rPr>
        <w:object w:dxaOrig="11994" w:dyaOrig="4580">
          <v:shape id="_x0000_i1028" type="#_x0000_t75" style="width:359.25pt;height:175.5pt" o:ole="">
            <v:imagedata r:id="rId22" o:title=""/>
          </v:shape>
          <o:OLEObject Type="Embed" ProgID="MSGraph.Chart.8" ShapeID="_x0000_i1028" DrawAspect="Content" ObjectID="_1523078490" r:id="rId23"/>
        </w:object>
      </w:r>
    </w:p>
    <w:p w:rsidR="00363C01" w:rsidRPr="00F63701" w:rsidRDefault="00FB020C">
      <w:pPr>
        <w:rPr>
          <w:rFonts w:ascii="仿宋_GB2312" w:eastAsia="仿宋_GB2312" w:hAnsi="仿宋" w:cs="仿宋"/>
          <w:b/>
          <w:bCs/>
          <w:sz w:val="28"/>
          <w:szCs w:val="28"/>
        </w:rPr>
      </w:pPr>
      <w:r w:rsidRPr="00F63701">
        <w:rPr>
          <w:rFonts w:ascii="仿宋_GB2312" w:eastAsia="仿宋_GB2312" w:hAnsi="仿宋" w:cs="仿宋" w:hint="eastAsia"/>
          <w:b/>
          <w:bCs/>
          <w:sz w:val="28"/>
          <w:szCs w:val="28"/>
        </w:rPr>
        <w:t xml:space="preserve">   （二）</w:t>
      </w:r>
      <w:r w:rsidR="00AB454A" w:rsidRPr="00F63701">
        <w:rPr>
          <w:rFonts w:ascii="仿宋_GB2312" w:eastAsia="仿宋_GB2312" w:hAnsi="仿宋" w:cs="仿宋" w:hint="eastAsia"/>
          <w:b/>
          <w:bCs/>
          <w:sz w:val="28"/>
          <w:szCs w:val="28"/>
        </w:rPr>
        <w:t>电力</w:t>
      </w:r>
      <w:r w:rsidR="009A0CC2" w:rsidRPr="00F63701">
        <w:rPr>
          <w:rFonts w:ascii="仿宋_GB2312" w:eastAsia="仿宋_GB2312" w:hAnsi="仿宋" w:cs="仿宋" w:hint="eastAsia"/>
          <w:b/>
          <w:bCs/>
          <w:sz w:val="28"/>
          <w:szCs w:val="28"/>
        </w:rPr>
        <w:t>建设</w:t>
      </w:r>
      <w:r w:rsidR="00AB454A" w:rsidRPr="00F63701">
        <w:rPr>
          <w:rFonts w:ascii="仿宋_GB2312" w:eastAsia="仿宋_GB2312" w:hAnsi="仿宋" w:cs="仿宋" w:hint="eastAsia"/>
          <w:b/>
          <w:bCs/>
          <w:sz w:val="28"/>
          <w:szCs w:val="28"/>
        </w:rPr>
        <w:t>行业发展趋势</w:t>
      </w:r>
      <w:r w:rsidR="005273AE" w:rsidRPr="00F63701">
        <w:rPr>
          <w:rFonts w:ascii="仿宋_GB2312" w:eastAsia="仿宋_GB2312" w:hAnsi="仿宋" w:cs="仿宋" w:hint="eastAsia"/>
          <w:b/>
          <w:bCs/>
          <w:sz w:val="28"/>
          <w:szCs w:val="28"/>
        </w:rPr>
        <w:t>展望</w:t>
      </w:r>
    </w:p>
    <w:p w:rsidR="00363C01" w:rsidRPr="00F63701" w:rsidRDefault="00FB020C" w:rsidP="005273AE">
      <w:pPr>
        <w:pStyle w:val="a3"/>
        <w:spacing w:beforeAutospacing="0" w:afterAutospacing="0" w:line="360" w:lineRule="auto"/>
        <w:ind w:firstLineChars="200" w:firstLine="562"/>
        <w:jc w:val="both"/>
        <w:rPr>
          <w:rFonts w:ascii="仿宋_GB2312" w:eastAsia="仿宋_GB2312" w:hAnsi="仿宋" w:cs="仿宋"/>
          <w:b/>
          <w:bCs/>
          <w:color w:val="auto"/>
          <w:sz w:val="28"/>
          <w:szCs w:val="28"/>
        </w:rPr>
      </w:pPr>
      <w:r w:rsidRPr="00F63701">
        <w:rPr>
          <w:rFonts w:ascii="仿宋_GB2312" w:eastAsia="仿宋_GB2312" w:hAnsi="仿宋" w:cs="仿宋" w:hint="eastAsia"/>
          <w:b/>
          <w:bCs/>
          <w:color w:val="auto"/>
          <w:sz w:val="28"/>
          <w:szCs w:val="28"/>
        </w:rPr>
        <w:t>1、</w:t>
      </w:r>
      <w:r w:rsidR="00AB454A" w:rsidRPr="00F63701">
        <w:rPr>
          <w:rFonts w:ascii="仿宋_GB2312" w:eastAsia="仿宋_GB2312" w:hAnsi="仿宋" w:cs="仿宋" w:hint="eastAsia"/>
          <w:b/>
          <w:bCs/>
          <w:color w:val="auto"/>
          <w:sz w:val="28"/>
          <w:szCs w:val="28"/>
        </w:rPr>
        <w:t>大力发展清洁能源，促进能源绿色发展</w:t>
      </w:r>
    </w:p>
    <w:p w:rsidR="00363C01" w:rsidRPr="00F63701" w:rsidRDefault="00AB454A" w:rsidP="005273AE">
      <w:pPr>
        <w:pStyle w:val="a3"/>
        <w:spacing w:beforeAutospacing="0" w:afterAutospacing="0" w:line="360" w:lineRule="auto"/>
        <w:ind w:firstLineChars="200" w:firstLine="560"/>
        <w:jc w:val="both"/>
        <w:rPr>
          <w:rFonts w:ascii="仿宋_GB2312" w:eastAsia="仿宋_GB2312" w:hAnsi="仿宋" w:cs="仿宋"/>
          <w:color w:val="auto"/>
          <w:sz w:val="28"/>
          <w:szCs w:val="28"/>
        </w:rPr>
      </w:pPr>
      <w:proofErr w:type="gramStart"/>
      <w:r w:rsidRPr="00F63701">
        <w:rPr>
          <w:rFonts w:ascii="仿宋_GB2312" w:eastAsia="仿宋_GB2312" w:hAnsi="仿宋" w:cs="仿宋" w:hint="eastAsia"/>
          <w:color w:val="auto"/>
          <w:sz w:val="28"/>
          <w:szCs w:val="28"/>
        </w:rPr>
        <w:t>清洁发展</w:t>
      </w:r>
      <w:proofErr w:type="gramEnd"/>
      <w:r w:rsidRPr="00F63701">
        <w:rPr>
          <w:rFonts w:ascii="仿宋_GB2312" w:eastAsia="仿宋_GB2312" w:hAnsi="仿宋" w:cs="仿宋" w:hint="eastAsia"/>
          <w:color w:val="auto"/>
          <w:sz w:val="28"/>
          <w:szCs w:val="28"/>
        </w:rPr>
        <w:t>作为能源发展的战略重点，应大力发展</w:t>
      </w:r>
      <w:r w:rsidRPr="00F63701">
        <w:rPr>
          <w:rFonts w:ascii="仿宋_GB2312" w:eastAsia="仿宋_GB2312" w:hAnsi="仿宋" w:cs="仿宋" w:hint="eastAsia"/>
          <w:color w:val="FF0000"/>
          <w:sz w:val="28"/>
          <w:szCs w:val="28"/>
        </w:rPr>
        <w:t>非化石</w:t>
      </w:r>
      <w:r w:rsidRPr="00F63701">
        <w:rPr>
          <w:rFonts w:ascii="仿宋_GB2312" w:eastAsia="仿宋_GB2312" w:hAnsi="仿宋" w:cs="仿宋" w:hint="eastAsia"/>
          <w:color w:val="auto"/>
          <w:sz w:val="28"/>
          <w:szCs w:val="28"/>
        </w:rPr>
        <w:t>能源。坚持集中与分布式并重、集中送出与就地消纳结合，稳步推进水电、核电、风电、太阳能、生物质能、地热能等可再生能源发展。</w:t>
      </w:r>
    </w:p>
    <w:p w:rsidR="00363C01" w:rsidRPr="00F63701" w:rsidRDefault="005273AE">
      <w:pPr>
        <w:pStyle w:val="a3"/>
        <w:spacing w:beforeAutospacing="0" w:afterAutospacing="0" w:line="620" w:lineRule="exact"/>
        <w:ind w:firstLineChars="200" w:firstLine="562"/>
        <w:jc w:val="both"/>
        <w:rPr>
          <w:rFonts w:ascii="仿宋_GB2312" w:eastAsia="仿宋_GB2312" w:hAnsi="仿宋" w:cs="仿宋"/>
          <w:b/>
          <w:bCs/>
          <w:color w:val="auto"/>
          <w:sz w:val="28"/>
          <w:szCs w:val="28"/>
        </w:rPr>
      </w:pPr>
      <w:r w:rsidRPr="00F63701">
        <w:rPr>
          <w:rFonts w:ascii="仿宋_GB2312" w:eastAsia="仿宋_GB2312" w:hAnsi="仿宋" w:cs="仿宋" w:hint="eastAsia"/>
          <w:b/>
          <w:bCs/>
          <w:color w:val="auto"/>
          <w:sz w:val="28"/>
          <w:szCs w:val="28"/>
        </w:rPr>
        <w:t>2</w:t>
      </w:r>
      <w:r w:rsidR="00AB454A" w:rsidRPr="00F63701">
        <w:rPr>
          <w:rFonts w:ascii="仿宋_GB2312" w:eastAsia="仿宋_GB2312" w:hAnsi="仿宋" w:cs="仿宋" w:hint="eastAsia"/>
          <w:b/>
          <w:bCs/>
          <w:color w:val="auto"/>
          <w:sz w:val="28"/>
          <w:szCs w:val="28"/>
        </w:rPr>
        <w:t>、加快输电通道和智能电网建设，促进清洁能源利用</w:t>
      </w:r>
    </w:p>
    <w:p w:rsidR="00363C01" w:rsidRPr="00F63701" w:rsidRDefault="00AB454A">
      <w:pPr>
        <w:pStyle w:val="a3"/>
        <w:spacing w:beforeAutospacing="0" w:afterAutospacing="0" w:line="620" w:lineRule="exact"/>
        <w:ind w:firstLineChars="200" w:firstLine="560"/>
        <w:jc w:val="both"/>
        <w:rPr>
          <w:rFonts w:ascii="仿宋_GB2312" w:eastAsia="仿宋_GB2312" w:hAnsi="仿宋" w:cs="仿宋"/>
          <w:color w:val="auto"/>
          <w:sz w:val="28"/>
          <w:szCs w:val="28"/>
        </w:rPr>
      </w:pPr>
      <w:r w:rsidRPr="00F63701">
        <w:rPr>
          <w:rFonts w:ascii="仿宋_GB2312" w:eastAsia="仿宋_GB2312" w:hAnsi="仿宋" w:cs="仿宋" w:hint="eastAsia"/>
          <w:color w:val="auto"/>
          <w:sz w:val="28"/>
          <w:szCs w:val="28"/>
        </w:rPr>
        <w:t>把建设以特高压为骨干网架的坚强智能电网作为清洁能源发展的重要保障，以适应转变电力发展方式的需要，推动我国电力资源的大范围优化配置。</w:t>
      </w:r>
    </w:p>
    <w:p w:rsidR="00363C01" w:rsidRPr="00F63701" w:rsidRDefault="005273AE">
      <w:pPr>
        <w:pStyle w:val="a3"/>
        <w:spacing w:beforeAutospacing="0" w:afterAutospacing="0" w:line="620" w:lineRule="exact"/>
        <w:ind w:firstLineChars="196" w:firstLine="551"/>
        <w:jc w:val="both"/>
        <w:rPr>
          <w:rFonts w:ascii="仿宋_GB2312" w:eastAsia="仿宋_GB2312" w:hAnsi="仿宋" w:cs="仿宋"/>
          <w:color w:val="auto"/>
          <w:sz w:val="28"/>
          <w:szCs w:val="28"/>
        </w:rPr>
      </w:pPr>
      <w:r w:rsidRPr="00F63701">
        <w:rPr>
          <w:rFonts w:ascii="仿宋_GB2312" w:eastAsia="仿宋_GB2312" w:hAnsi="仿宋" w:cs="仿宋" w:hint="eastAsia"/>
          <w:b/>
          <w:bCs/>
          <w:color w:val="auto"/>
          <w:sz w:val="28"/>
          <w:szCs w:val="28"/>
        </w:rPr>
        <w:t>3</w:t>
      </w:r>
      <w:r w:rsidR="00AB454A" w:rsidRPr="00F63701">
        <w:rPr>
          <w:rFonts w:ascii="仿宋_GB2312" w:eastAsia="仿宋_GB2312" w:hAnsi="仿宋" w:cs="仿宋" w:hint="eastAsia"/>
          <w:b/>
          <w:bCs/>
          <w:color w:val="auto"/>
          <w:sz w:val="28"/>
          <w:szCs w:val="28"/>
        </w:rPr>
        <w:t>、加快电动汽车充电基础设施建设推，动环保和节能减排</w:t>
      </w:r>
    </w:p>
    <w:p w:rsidR="00363C01" w:rsidRPr="00F63701" w:rsidRDefault="00AB454A">
      <w:pPr>
        <w:pStyle w:val="a3"/>
        <w:spacing w:beforeAutospacing="0" w:afterAutospacing="0" w:line="620" w:lineRule="exact"/>
        <w:ind w:firstLineChars="196" w:firstLine="549"/>
        <w:jc w:val="both"/>
        <w:rPr>
          <w:rFonts w:ascii="仿宋_GB2312" w:eastAsia="仿宋_GB2312" w:hAnsi="仿宋" w:cs="仿宋"/>
          <w:color w:val="auto"/>
          <w:sz w:val="28"/>
          <w:szCs w:val="28"/>
        </w:rPr>
      </w:pPr>
      <w:r w:rsidRPr="00F63701">
        <w:rPr>
          <w:rFonts w:ascii="仿宋_GB2312" w:eastAsia="仿宋_GB2312" w:hAnsi="仿宋" w:cs="仿宋" w:hint="eastAsia"/>
          <w:color w:val="auto"/>
          <w:sz w:val="28"/>
          <w:szCs w:val="28"/>
        </w:rPr>
        <w:t>国家出台的《关于加快电动汽车充电基础设施建设的指导意见》为加快我国电动汽车产业发展、大力推动节能减排增添了新引擎。《指导意见》确立了充电基础设施建设和城市电网等基础设施的同等地位，规划了充电基础设施的规模，引导社会资本参与充电基础设施建设及运营，要求各地将充电基础设施配套项目纳入配电网专项规划。到</w:t>
      </w:r>
      <w:r w:rsidRPr="00F63701">
        <w:rPr>
          <w:rFonts w:ascii="仿宋_GB2312" w:eastAsia="仿宋_GB2312" w:hAnsi="仿宋" w:cs="仿宋" w:hint="eastAsia"/>
          <w:color w:val="auto"/>
          <w:sz w:val="28"/>
          <w:szCs w:val="28"/>
        </w:rPr>
        <w:lastRenderedPageBreak/>
        <w:t>2020年，纯电动汽车和插电式混合动力汽车累计产销量将超过500万辆。</w:t>
      </w:r>
    </w:p>
    <w:p w:rsidR="00363C01" w:rsidRPr="00F63701" w:rsidRDefault="009A0CC2">
      <w:pPr>
        <w:spacing w:line="360" w:lineRule="auto"/>
        <w:ind w:firstLine="472"/>
        <w:jc w:val="left"/>
        <w:rPr>
          <w:rFonts w:ascii="仿宋_GB2312" w:eastAsia="仿宋_GB2312" w:hAnsi="仿宋" w:cs="仿宋"/>
          <w:b/>
          <w:sz w:val="28"/>
          <w:szCs w:val="28"/>
        </w:rPr>
      </w:pPr>
      <w:r w:rsidRPr="00F63701">
        <w:rPr>
          <w:rFonts w:ascii="仿宋_GB2312" w:eastAsia="仿宋_GB2312" w:hAnsi="仿宋" w:cs="仿宋" w:hint="eastAsia"/>
          <w:b/>
          <w:sz w:val="28"/>
          <w:szCs w:val="28"/>
          <w:lang w:val="zh-CN"/>
        </w:rPr>
        <w:t>（三）</w:t>
      </w:r>
      <w:r w:rsidR="00AB454A" w:rsidRPr="00F63701">
        <w:rPr>
          <w:rFonts w:ascii="仿宋_GB2312" w:eastAsia="仿宋_GB2312" w:hAnsi="仿宋" w:cs="仿宋" w:hint="eastAsia"/>
          <w:b/>
          <w:sz w:val="28"/>
          <w:szCs w:val="28"/>
          <w:lang w:val="zh-CN"/>
        </w:rPr>
        <w:t>石油工程建设行业</w:t>
      </w:r>
      <w:r w:rsidR="00AB454A" w:rsidRPr="00F63701">
        <w:rPr>
          <w:rFonts w:ascii="仿宋_GB2312" w:eastAsia="仿宋_GB2312" w:hAnsi="仿宋" w:cs="仿宋" w:hint="eastAsia"/>
          <w:b/>
          <w:sz w:val="28"/>
          <w:szCs w:val="28"/>
        </w:rPr>
        <w:t>2015</w:t>
      </w:r>
      <w:r w:rsidR="00AB454A" w:rsidRPr="00F63701">
        <w:rPr>
          <w:rFonts w:ascii="仿宋_GB2312" w:eastAsia="仿宋_GB2312" w:hAnsi="仿宋" w:cs="仿宋" w:hint="eastAsia"/>
          <w:b/>
          <w:sz w:val="28"/>
          <w:szCs w:val="28"/>
          <w:lang w:val="zh-CN"/>
        </w:rPr>
        <w:t>年经营情况</w:t>
      </w:r>
    </w:p>
    <w:p w:rsidR="00363C01" w:rsidRPr="00F63701" w:rsidRDefault="00C82A6D">
      <w:pPr>
        <w:spacing w:line="360" w:lineRule="auto"/>
        <w:ind w:firstLine="470"/>
        <w:jc w:val="left"/>
        <w:rPr>
          <w:rFonts w:ascii="仿宋_GB2312" w:eastAsia="仿宋_GB2312" w:hAnsi="仿宋" w:cs="仿宋"/>
          <w:sz w:val="28"/>
          <w:szCs w:val="28"/>
        </w:rPr>
      </w:pPr>
      <w:r w:rsidRPr="00F63701">
        <w:rPr>
          <w:rFonts w:ascii="仿宋_GB2312" w:eastAsia="仿宋_GB2312" w:hAnsi="仿宋" w:cs="仿宋" w:hint="eastAsia"/>
          <w:sz w:val="28"/>
          <w:szCs w:val="28"/>
        </w:rPr>
        <w:t xml:space="preserve"> </w:t>
      </w:r>
      <w:r w:rsidR="00AB454A" w:rsidRPr="00F63701">
        <w:rPr>
          <w:rFonts w:ascii="仿宋_GB2312" w:eastAsia="仿宋_GB2312" w:hAnsi="仿宋" w:cs="仿宋" w:hint="eastAsia"/>
          <w:sz w:val="28"/>
          <w:szCs w:val="28"/>
        </w:rPr>
        <w:t>2015</w:t>
      </w:r>
      <w:r w:rsidR="00AB454A" w:rsidRPr="00F63701">
        <w:rPr>
          <w:rFonts w:ascii="仿宋_GB2312" w:eastAsia="仿宋_GB2312" w:hAnsi="仿宋" w:cs="仿宋" w:hint="eastAsia"/>
          <w:sz w:val="28"/>
          <w:szCs w:val="28"/>
          <w:lang w:val="zh-CN"/>
        </w:rPr>
        <w:t>年，受全球市场低迷、油价持续走低、产能过剩及石油公司境外投资减少等多因素影响，国内外石油建设市场萎缩，石油工程工程建设行业的营业收入、新签合同额和实现利润均有较大幅度下滑。</w:t>
      </w:r>
    </w:p>
    <w:p w:rsidR="00363C01" w:rsidRPr="00F63701" w:rsidRDefault="00AB454A">
      <w:pPr>
        <w:spacing w:line="360" w:lineRule="auto"/>
        <w:ind w:firstLine="480"/>
        <w:jc w:val="left"/>
        <w:rPr>
          <w:rFonts w:ascii="仿宋_GB2312" w:eastAsia="仿宋_GB2312" w:hAnsi="仿宋" w:cs="仿宋"/>
          <w:sz w:val="28"/>
          <w:szCs w:val="28"/>
        </w:rPr>
      </w:pPr>
      <w:r w:rsidRPr="00F63701">
        <w:rPr>
          <w:rFonts w:ascii="仿宋_GB2312" w:eastAsia="仿宋_GB2312" w:hAnsi="仿宋" w:cs="仿宋" w:hint="eastAsia"/>
          <w:sz w:val="28"/>
          <w:szCs w:val="28"/>
          <w:lang w:val="zh-CN"/>
        </w:rPr>
        <w:t>据不完全统计，</w:t>
      </w:r>
      <w:r w:rsidRPr="00F63701">
        <w:rPr>
          <w:rFonts w:ascii="仿宋_GB2312" w:eastAsia="仿宋_GB2312" w:hAnsi="仿宋" w:cs="仿宋" w:hint="eastAsia"/>
          <w:sz w:val="28"/>
          <w:szCs w:val="28"/>
        </w:rPr>
        <w:t>2015</w:t>
      </w:r>
      <w:r w:rsidRPr="00F63701">
        <w:rPr>
          <w:rFonts w:ascii="仿宋_GB2312" w:eastAsia="仿宋_GB2312" w:hAnsi="仿宋" w:cs="仿宋" w:hint="eastAsia"/>
          <w:sz w:val="28"/>
          <w:szCs w:val="28"/>
          <w:lang w:val="zh-CN"/>
        </w:rPr>
        <w:t>年中石油所属工程建设企业实现营业收入约</w:t>
      </w:r>
      <w:r w:rsidRPr="00F63701">
        <w:rPr>
          <w:rFonts w:ascii="仿宋_GB2312" w:eastAsia="仿宋_GB2312" w:hAnsi="仿宋" w:cs="仿宋" w:hint="eastAsia"/>
          <w:sz w:val="28"/>
          <w:szCs w:val="28"/>
        </w:rPr>
        <w:t>1078</w:t>
      </w:r>
      <w:r w:rsidRPr="00F63701">
        <w:rPr>
          <w:rFonts w:ascii="仿宋_GB2312" w:eastAsia="仿宋_GB2312" w:hAnsi="仿宋" w:cs="仿宋" w:hint="eastAsia"/>
          <w:sz w:val="28"/>
          <w:szCs w:val="28"/>
          <w:lang w:val="zh-CN"/>
        </w:rPr>
        <w:t>亿元，较</w:t>
      </w:r>
      <w:r w:rsidRPr="00F63701">
        <w:rPr>
          <w:rFonts w:ascii="仿宋_GB2312" w:eastAsia="仿宋_GB2312" w:hAnsi="仿宋" w:cs="仿宋" w:hint="eastAsia"/>
          <w:sz w:val="28"/>
          <w:szCs w:val="28"/>
        </w:rPr>
        <w:t>2014</w:t>
      </w:r>
      <w:r w:rsidRPr="00F63701">
        <w:rPr>
          <w:rFonts w:ascii="仿宋_GB2312" w:eastAsia="仿宋_GB2312" w:hAnsi="仿宋" w:cs="仿宋" w:hint="eastAsia"/>
          <w:sz w:val="28"/>
          <w:szCs w:val="28"/>
          <w:lang w:val="zh-CN"/>
        </w:rPr>
        <w:t>年收入减少约</w:t>
      </w:r>
      <w:r w:rsidRPr="00F63701">
        <w:rPr>
          <w:rFonts w:ascii="仿宋_GB2312" w:eastAsia="仿宋_GB2312" w:hAnsi="仿宋" w:cs="仿宋" w:hint="eastAsia"/>
          <w:sz w:val="28"/>
          <w:szCs w:val="28"/>
        </w:rPr>
        <w:t>270</w:t>
      </w:r>
      <w:r w:rsidRPr="00F63701">
        <w:rPr>
          <w:rFonts w:ascii="仿宋_GB2312" w:eastAsia="仿宋_GB2312" w:hAnsi="仿宋" w:cs="仿宋" w:hint="eastAsia"/>
          <w:sz w:val="28"/>
          <w:szCs w:val="28"/>
          <w:lang w:val="zh-CN"/>
        </w:rPr>
        <w:t>亿元，下降幅度约</w:t>
      </w:r>
      <w:r w:rsidRPr="00F63701">
        <w:rPr>
          <w:rFonts w:ascii="仿宋_GB2312" w:eastAsia="仿宋_GB2312" w:hAnsi="仿宋" w:cs="仿宋" w:hint="eastAsia"/>
          <w:sz w:val="28"/>
          <w:szCs w:val="28"/>
        </w:rPr>
        <w:t>20%；</w:t>
      </w:r>
      <w:r w:rsidRPr="00F63701">
        <w:rPr>
          <w:rFonts w:ascii="仿宋_GB2312" w:eastAsia="仿宋_GB2312" w:hAnsi="仿宋" w:cs="仿宋" w:hint="eastAsia"/>
          <w:sz w:val="28"/>
          <w:szCs w:val="28"/>
          <w:lang w:val="zh-CN"/>
        </w:rPr>
        <w:t>实现利润约</w:t>
      </w:r>
      <w:r w:rsidRPr="00F63701">
        <w:rPr>
          <w:rFonts w:ascii="仿宋_GB2312" w:eastAsia="仿宋_GB2312" w:hAnsi="仿宋" w:cs="仿宋" w:hint="eastAsia"/>
          <w:sz w:val="28"/>
          <w:szCs w:val="28"/>
        </w:rPr>
        <w:t>25</w:t>
      </w:r>
      <w:r w:rsidRPr="00F63701">
        <w:rPr>
          <w:rFonts w:ascii="仿宋_GB2312" w:eastAsia="仿宋_GB2312" w:hAnsi="仿宋" w:cs="仿宋" w:hint="eastAsia"/>
          <w:sz w:val="28"/>
          <w:szCs w:val="28"/>
          <w:lang w:val="zh-CN"/>
        </w:rPr>
        <w:t>亿元，较</w:t>
      </w:r>
      <w:r w:rsidRPr="00F63701">
        <w:rPr>
          <w:rFonts w:ascii="仿宋_GB2312" w:eastAsia="仿宋_GB2312" w:hAnsi="仿宋" w:cs="仿宋" w:hint="eastAsia"/>
          <w:sz w:val="28"/>
          <w:szCs w:val="28"/>
        </w:rPr>
        <w:t>2014</w:t>
      </w:r>
      <w:r w:rsidRPr="00F63701">
        <w:rPr>
          <w:rFonts w:ascii="仿宋_GB2312" w:eastAsia="仿宋_GB2312" w:hAnsi="仿宋" w:cs="仿宋" w:hint="eastAsia"/>
          <w:sz w:val="28"/>
          <w:szCs w:val="28"/>
          <w:lang w:val="zh-CN"/>
        </w:rPr>
        <w:t>年利润减少约</w:t>
      </w:r>
      <w:r w:rsidRPr="00F63701">
        <w:rPr>
          <w:rFonts w:ascii="仿宋_GB2312" w:eastAsia="仿宋_GB2312" w:hAnsi="仿宋" w:cs="仿宋" w:hint="eastAsia"/>
          <w:sz w:val="28"/>
          <w:szCs w:val="28"/>
        </w:rPr>
        <w:t>6</w:t>
      </w:r>
      <w:r w:rsidRPr="00F63701">
        <w:rPr>
          <w:rFonts w:ascii="仿宋_GB2312" w:eastAsia="仿宋_GB2312" w:hAnsi="仿宋" w:cs="仿宋" w:hint="eastAsia"/>
          <w:sz w:val="28"/>
          <w:szCs w:val="28"/>
          <w:lang w:val="zh-CN"/>
        </w:rPr>
        <w:t>亿元，下降幅度约</w:t>
      </w:r>
      <w:r w:rsidRPr="00F63701">
        <w:rPr>
          <w:rFonts w:ascii="仿宋_GB2312" w:eastAsia="仿宋_GB2312" w:hAnsi="仿宋" w:cs="仿宋" w:hint="eastAsia"/>
          <w:sz w:val="28"/>
          <w:szCs w:val="28"/>
        </w:rPr>
        <w:t>20%；</w:t>
      </w:r>
      <w:r w:rsidRPr="00F63701">
        <w:rPr>
          <w:rFonts w:ascii="仿宋_GB2312" w:eastAsia="仿宋_GB2312" w:hAnsi="仿宋" w:cs="仿宋" w:hint="eastAsia"/>
          <w:sz w:val="28"/>
          <w:szCs w:val="28"/>
          <w:lang w:val="zh-CN"/>
        </w:rPr>
        <w:t>新签合同额约</w:t>
      </w:r>
      <w:r w:rsidRPr="00F63701">
        <w:rPr>
          <w:rFonts w:ascii="仿宋_GB2312" w:eastAsia="仿宋_GB2312" w:hAnsi="仿宋" w:cs="仿宋" w:hint="eastAsia"/>
          <w:sz w:val="28"/>
          <w:szCs w:val="28"/>
        </w:rPr>
        <w:t>1307</w:t>
      </w:r>
      <w:r w:rsidRPr="00F63701">
        <w:rPr>
          <w:rFonts w:ascii="仿宋_GB2312" w:eastAsia="仿宋_GB2312" w:hAnsi="仿宋" w:cs="仿宋" w:hint="eastAsia"/>
          <w:sz w:val="28"/>
          <w:szCs w:val="28"/>
          <w:lang w:val="zh-CN"/>
        </w:rPr>
        <w:t>亿元，较</w:t>
      </w:r>
      <w:r w:rsidRPr="00F63701">
        <w:rPr>
          <w:rFonts w:ascii="仿宋_GB2312" w:eastAsia="仿宋_GB2312" w:hAnsi="仿宋" w:cs="仿宋" w:hint="eastAsia"/>
          <w:sz w:val="28"/>
          <w:szCs w:val="28"/>
        </w:rPr>
        <w:t>2014</w:t>
      </w:r>
      <w:r w:rsidRPr="00F63701">
        <w:rPr>
          <w:rFonts w:ascii="仿宋_GB2312" w:eastAsia="仿宋_GB2312" w:hAnsi="仿宋" w:cs="仿宋" w:hint="eastAsia"/>
          <w:sz w:val="28"/>
          <w:szCs w:val="28"/>
          <w:lang w:val="zh-CN"/>
        </w:rPr>
        <w:t>年新签合同额减少约</w:t>
      </w:r>
      <w:r w:rsidRPr="00F63701">
        <w:rPr>
          <w:rFonts w:ascii="仿宋_GB2312" w:eastAsia="仿宋_GB2312" w:hAnsi="仿宋" w:cs="仿宋" w:hint="eastAsia"/>
          <w:sz w:val="28"/>
          <w:szCs w:val="28"/>
        </w:rPr>
        <w:t>369</w:t>
      </w:r>
      <w:r w:rsidRPr="00F63701">
        <w:rPr>
          <w:rFonts w:ascii="仿宋_GB2312" w:eastAsia="仿宋_GB2312" w:hAnsi="仿宋" w:cs="仿宋" w:hint="eastAsia"/>
          <w:sz w:val="28"/>
          <w:szCs w:val="28"/>
          <w:lang w:val="zh-CN"/>
        </w:rPr>
        <w:t>亿元，下降幅度约</w:t>
      </w:r>
      <w:r w:rsidRPr="00F63701">
        <w:rPr>
          <w:rFonts w:ascii="仿宋_GB2312" w:eastAsia="仿宋_GB2312" w:hAnsi="仿宋" w:cs="仿宋" w:hint="eastAsia"/>
          <w:sz w:val="28"/>
          <w:szCs w:val="28"/>
        </w:rPr>
        <w:t>22%，</w:t>
      </w:r>
      <w:r w:rsidRPr="00F63701">
        <w:rPr>
          <w:rFonts w:ascii="仿宋_GB2312" w:eastAsia="仿宋_GB2312" w:hAnsi="仿宋" w:cs="仿宋" w:hint="eastAsia"/>
          <w:sz w:val="28"/>
          <w:szCs w:val="28"/>
          <w:lang w:val="zh-CN"/>
        </w:rPr>
        <w:t>新签合同额</w:t>
      </w:r>
      <w:r w:rsidRPr="00F63701">
        <w:rPr>
          <w:rFonts w:ascii="仿宋_GB2312" w:eastAsia="仿宋_GB2312" w:hAnsi="仿宋" w:cs="仿宋" w:hint="eastAsia"/>
          <w:color w:val="414242"/>
          <w:sz w:val="28"/>
          <w:szCs w:val="28"/>
          <w:lang w:val="zh-CN"/>
        </w:rPr>
        <w:t>外部市场超过石油内部市场2倍，国外市场超过国内市场2成，</w:t>
      </w:r>
      <w:r w:rsidRPr="00F63701">
        <w:rPr>
          <w:rFonts w:ascii="仿宋_GB2312" w:eastAsia="仿宋_GB2312" w:hAnsi="仿宋" w:cs="仿宋" w:hint="eastAsia"/>
          <w:sz w:val="28"/>
          <w:szCs w:val="28"/>
          <w:lang w:val="zh-CN"/>
        </w:rPr>
        <w:t>石油建设企业在困难之</w:t>
      </w:r>
      <w:proofErr w:type="gramStart"/>
      <w:r w:rsidRPr="00F63701">
        <w:rPr>
          <w:rFonts w:ascii="仿宋_GB2312" w:eastAsia="仿宋_GB2312" w:hAnsi="仿宋" w:cs="仿宋" w:hint="eastAsia"/>
          <w:sz w:val="28"/>
          <w:szCs w:val="28"/>
          <w:lang w:val="zh-CN"/>
        </w:rPr>
        <w:t>年开拓</w:t>
      </w:r>
      <w:proofErr w:type="gramEnd"/>
      <w:r w:rsidRPr="00F63701">
        <w:rPr>
          <w:rFonts w:ascii="仿宋_GB2312" w:eastAsia="仿宋_GB2312" w:hAnsi="仿宋" w:cs="仿宋" w:hint="eastAsia"/>
          <w:sz w:val="28"/>
          <w:szCs w:val="28"/>
          <w:lang w:val="zh-CN"/>
        </w:rPr>
        <w:t>市场成效显著；</w:t>
      </w:r>
      <w:r w:rsidRPr="00F63701">
        <w:rPr>
          <w:rFonts w:ascii="仿宋_GB2312" w:eastAsia="仿宋_GB2312" w:hAnsi="仿宋" w:cs="仿宋" w:hint="eastAsia"/>
          <w:sz w:val="28"/>
          <w:szCs w:val="28"/>
        </w:rPr>
        <w:t>2015</w:t>
      </w:r>
      <w:r w:rsidRPr="00F63701">
        <w:rPr>
          <w:rFonts w:ascii="仿宋_GB2312" w:eastAsia="仿宋_GB2312" w:hAnsi="仿宋" w:cs="仿宋" w:hint="eastAsia"/>
          <w:sz w:val="28"/>
          <w:szCs w:val="28"/>
          <w:lang w:val="zh-CN"/>
        </w:rPr>
        <w:t>年中石油所属工程建设企业数量</w:t>
      </w:r>
      <w:r w:rsidRPr="00F63701">
        <w:rPr>
          <w:rFonts w:ascii="仿宋_GB2312" w:eastAsia="仿宋_GB2312" w:hAnsi="仿宋" w:cs="仿宋" w:hint="eastAsia"/>
          <w:sz w:val="28"/>
          <w:szCs w:val="28"/>
        </w:rPr>
        <w:t>38</w:t>
      </w:r>
      <w:r w:rsidRPr="00F63701">
        <w:rPr>
          <w:rFonts w:ascii="仿宋_GB2312" w:eastAsia="仿宋_GB2312" w:hAnsi="仿宋" w:cs="仿宋" w:hint="eastAsia"/>
          <w:sz w:val="28"/>
          <w:szCs w:val="28"/>
          <w:lang w:val="zh-CN"/>
        </w:rPr>
        <w:t>家，较</w:t>
      </w:r>
      <w:r w:rsidRPr="00F63701">
        <w:rPr>
          <w:rFonts w:ascii="仿宋_GB2312" w:eastAsia="仿宋_GB2312" w:hAnsi="仿宋" w:cs="仿宋" w:hint="eastAsia"/>
          <w:sz w:val="28"/>
          <w:szCs w:val="28"/>
        </w:rPr>
        <w:t>2014</w:t>
      </w:r>
      <w:r w:rsidRPr="00F63701">
        <w:rPr>
          <w:rFonts w:ascii="仿宋_GB2312" w:eastAsia="仿宋_GB2312" w:hAnsi="仿宋" w:cs="仿宋" w:hint="eastAsia"/>
          <w:sz w:val="28"/>
          <w:szCs w:val="28"/>
          <w:lang w:val="zh-CN"/>
        </w:rPr>
        <w:t>年减少</w:t>
      </w:r>
      <w:r w:rsidRPr="00F63701">
        <w:rPr>
          <w:rFonts w:ascii="仿宋_GB2312" w:eastAsia="仿宋_GB2312" w:hAnsi="仿宋" w:cs="仿宋" w:hint="eastAsia"/>
          <w:sz w:val="28"/>
          <w:szCs w:val="28"/>
        </w:rPr>
        <w:t>2</w:t>
      </w:r>
      <w:r w:rsidRPr="00F63701">
        <w:rPr>
          <w:rFonts w:ascii="仿宋_GB2312" w:eastAsia="仿宋_GB2312" w:hAnsi="仿宋" w:cs="仿宋" w:hint="eastAsia"/>
          <w:sz w:val="28"/>
          <w:szCs w:val="28"/>
          <w:lang w:val="zh-CN"/>
        </w:rPr>
        <w:t>家；就业人数</w:t>
      </w:r>
      <w:r w:rsidRPr="00F63701">
        <w:rPr>
          <w:rFonts w:ascii="仿宋_GB2312" w:eastAsia="仿宋_GB2312" w:hAnsi="仿宋" w:cs="仿宋" w:hint="eastAsia"/>
          <w:sz w:val="28"/>
          <w:szCs w:val="28"/>
        </w:rPr>
        <w:t>125946</w:t>
      </w:r>
      <w:r w:rsidRPr="00F63701">
        <w:rPr>
          <w:rFonts w:ascii="仿宋_GB2312" w:eastAsia="仿宋_GB2312" w:hAnsi="仿宋" w:cs="仿宋" w:hint="eastAsia"/>
          <w:sz w:val="28"/>
          <w:szCs w:val="28"/>
          <w:lang w:val="zh-CN"/>
        </w:rPr>
        <w:t>人，与</w:t>
      </w:r>
      <w:r w:rsidRPr="00F63701">
        <w:rPr>
          <w:rFonts w:ascii="仿宋_GB2312" w:eastAsia="仿宋_GB2312" w:hAnsi="仿宋" w:cs="仿宋" w:hint="eastAsia"/>
          <w:sz w:val="28"/>
          <w:szCs w:val="28"/>
        </w:rPr>
        <w:t>2014</w:t>
      </w:r>
      <w:r w:rsidRPr="00F63701">
        <w:rPr>
          <w:rFonts w:ascii="仿宋_GB2312" w:eastAsia="仿宋_GB2312" w:hAnsi="仿宋" w:cs="仿宋" w:hint="eastAsia"/>
          <w:sz w:val="28"/>
          <w:szCs w:val="28"/>
          <w:lang w:val="zh-CN"/>
        </w:rPr>
        <w:t>年基本持平。</w:t>
      </w:r>
      <w:r w:rsidRPr="00F63701">
        <w:rPr>
          <w:rFonts w:ascii="仿宋_GB2312" w:eastAsia="仿宋_GB2312" w:hAnsi="仿宋" w:cs="仿宋" w:hint="eastAsia"/>
          <w:sz w:val="28"/>
          <w:szCs w:val="28"/>
        </w:rPr>
        <w:t xml:space="preserve"> </w:t>
      </w:r>
    </w:p>
    <w:p w:rsidR="00363C01" w:rsidRPr="00F63701" w:rsidRDefault="00C82A6D">
      <w:pPr>
        <w:spacing w:line="360" w:lineRule="auto"/>
        <w:ind w:firstLine="470"/>
        <w:jc w:val="left"/>
        <w:rPr>
          <w:rFonts w:ascii="仿宋_GB2312" w:eastAsia="仿宋_GB2312" w:hAnsi="仿宋" w:cs="仿宋"/>
          <w:b/>
          <w:bCs/>
          <w:sz w:val="28"/>
          <w:szCs w:val="28"/>
        </w:rPr>
      </w:pPr>
      <w:r w:rsidRPr="00F63701">
        <w:rPr>
          <w:rFonts w:ascii="仿宋_GB2312" w:eastAsia="仿宋_GB2312" w:hAnsi="仿宋" w:cs="仿宋" w:hint="eastAsia"/>
          <w:b/>
          <w:bCs/>
          <w:sz w:val="28"/>
          <w:szCs w:val="28"/>
        </w:rPr>
        <w:t>（四）</w:t>
      </w:r>
      <w:r w:rsidR="00AB454A" w:rsidRPr="00F63701">
        <w:rPr>
          <w:rFonts w:ascii="仿宋_GB2312" w:eastAsia="仿宋_GB2312" w:hAnsi="仿宋" w:cs="仿宋" w:hint="eastAsia"/>
          <w:b/>
          <w:bCs/>
          <w:sz w:val="28"/>
          <w:szCs w:val="28"/>
        </w:rPr>
        <w:t>石油工程建设行业发展</w:t>
      </w:r>
      <w:r w:rsidRPr="00F63701">
        <w:rPr>
          <w:rFonts w:ascii="仿宋_GB2312" w:eastAsia="仿宋_GB2312" w:hAnsi="仿宋" w:cs="仿宋" w:hint="eastAsia"/>
          <w:b/>
          <w:bCs/>
          <w:sz w:val="28"/>
          <w:szCs w:val="28"/>
        </w:rPr>
        <w:t>趋势展望</w:t>
      </w:r>
    </w:p>
    <w:p w:rsidR="00363C01" w:rsidRPr="00F63701" w:rsidRDefault="00C82A6D">
      <w:pPr>
        <w:spacing w:line="360" w:lineRule="auto"/>
        <w:ind w:firstLine="470"/>
        <w:jc w:val="left"/>
        <w:rPr>
          <w:rFonts w:ascii="仿宋_GB2312" w:eastAsia="仿宋_GB2312" w:hAnsi="仿宋" w:cs="仿宋"/>
          <w:sz w:val="28"/>
          <w:szCs w:val="28"/>
        </w:rPr>
      </w:pPr>
      <w:r w:rsidRPr="00F63701">
        <w:rPr>
          <w:rFonts w:ascii="仿宋_GB2312" w:eastAsia="仿宋_GB2312" w:hAnsi="仿宋" w:cs="仿宋" w:hint="eastAsia"/>
          <w:sz w:val="28"/>
          <w:szCs w:val="28"/>
        </w:rPr>
        <w:t xml:space="preserve"> </w:t>
      </w:r>
      <w:r w:rsidR="00AB454A" w:rsidRPr="00F63701">
        <w:rPr>
          <w:rFonts w:ascii="仿宋_GB2312" w:eastAsia="仿宋_GB2312" w:hAnsi="仿宋" w:cs="仿宋" w:hint="eastAsia"/>
          <w:sz w:val="28"/>
          <w:szCs w:val="28"/>
        </w:rPr>
        <w:t>2016</w:t>
      </w:r>
      <w:r w:rsidR="00AB454A" w:rsidRPr="00F63701">
        <w:rPr>
          <w:rFonts w:ascii="仿宋_GB2312" w:eastAsia="仿宋_GB2312" w:hAnsi="仿宋" w:cs="仿宋" w:hint="eastAsia"/>
          <w:sz w:val="28"/>
          <w:szCs w:val="28"/>
          <w:lang w:val="zh-CN"/>
        </w:rPr>
        <w:t>年国内石油工程建设市场受油价持续下滑、投资大幅度减少等因素的影响，形势非常严峻，虽然中石油</w:t>
      </w:r>
      <w:r w:rsidR="00AB454A" w:rsidRPr="00F63701">
        <w:rPr>
          <w:rFonts w:ascii="仿宋_GB2312" w:eastAsia="仿宋_GB2312" w:hAnsi="仿宋" w:cs="仿宋" w:hint="eastAsia"/>
          <w:sz w:val="28"/>
          <w:szCs w:val="28"/>
        </w:rPr>
        <w:t>2016</w:t>
      </w:r>
      <w:r w:rsidR="00AB454A" w:rsidRPr="00F63701">
        <w:rPr>
          <w:rFonts w:ascii="仿宋_GB2312" w:eastAsia="仿宋_GB2312" w:hAnsi="仿宋" w:cs="仿宋" w:hint="eastAsia"/>
          <w:sz w:val="28"/>
          <w:szCs w:val="28"/>
          <w:lang w:val="zh-CN"/>
        </w:rPr>
        <w:t>年安排投资预计可望达</w:t>
      </w:r>
      <w:r w:rsidR="00AB454A" w:rsidRPr="00F63701">
        <w:rPr>
          <w:rFonts w:ascii="仿宋_GB2312" w:eastAsia="仿宋_GB2312" w:hAnsi="仿宋" w:cs="仿宋" w:hint="eastAsia"/>
          <w:sz w:val="28"/>
          <w:szCs w:val="28"/>
        </w:rPr>
        <w:t>2600</w:t>
      </w:r>
      <w:r w:rsidR="00AB454A" w:rsidRPr="00F63701">
        <w:rPr>
          <w:rFonts w:ascii="仿宋_GB2312" w:eastAsia="仿宋_GB2312" w:hAnsi="仿宋" w:cs="仿宋" w:hint="eastAsia"/>
          <w:sz w:val="28"/>
          <w:szCs w:val="28"/>
          <w:lang w:val="zh-CN"/>
        </w:rPr>
        <w:t>亿元，但主要为上游勘探开发的投资，工程建设投资仅几百亿元，满足不了工程建设企业的总体需求。</w:t>
      </w:r>
    </w:p>
    <w:p w:rsidR="00363C01" w:rsidRPr="00F63701" w:rsidRDefault="00C82A6D">
      <w:pPr>
        <w:spacing w:line="360" w:lineRule="auto"/>
        <w:ind w:firstLine="470"/>
        <w:jc w:val="left"/>
        <w:rPr>
          <w:rFonts w:ascii="仿宋_GB2312" w:eastAsia="仿宋_GB2312" w:hAnsi="仿宋" w:cs="仿宋"/>
          <w:sz w:val="28"/>
          <w:szCs w:val="28"/>
        </w:rPr>
      </w:pPr>
      <w:r w:rsidRPr="00F63701">
        <w:rPr>
          <w:rFonts w:ascii="仿宋_GB2312" w:eastAsia="仿宋_GB2312" w:hAnsi="仿宋" w:cs="仿宋" w:hint="eastAsia"/>
          <w:sz w:val="28"/>
          <w:szCs w:val="28"/>
        </w:rPr>
        <w:t xml:space="preserve"> </w:t>
      </w:r>
      <w:r w:rsidR="00AB454A" w:rsidRPr="00F63701">
        <w:rPr>
          <w:rFonts w:ascii="仿宋_GB2312" w:eastAsia="仿宋_GB2312" w:hAnsi="仿宋" w:cs="仿宋" w:hint="eastAsia"/>
          <w:sz w:val="28"/>
          <w:szCs w:val="28"/>
          <w:lang w:val="zh-CN"/>
        </w:rPr>
        <w:t>国内工程建设项目，油气田建设工程主要以节能减排、更新改造工程为主；油气储运工程主要以陕京四线天然气管道、中俄天然气管道国内段、西部管网联络线等为主；炼油化工项目主要以质量升级、</w:t>
      </w:r>
      <w:r w:rsidR="00AB454A" w:rsidRPr="00F63701">
        <w:rPr>
          <w:rFonts w:ascii="仿宋_GB2312" w:eastAsia="仿宋_GB2312" w:hAnsi="仿宋" w:cs="仿宋" w:hint="eastAsia"/>
          <w:sz w:val="28"/>
          <w:szCs w:val="28"/>
          <w:lang w:val="zh-CN"/>
        </w:rPr>
        <w:lastRenderedPageBreak/>
        <w:t>节能减排、更新改造工程为主。</w:t>
      </w:r>
    </w:p>
    <w:p w:rsidR="00363C01" w:rsidRPr="00F63701" w:rsidRDefault="00AB454A">
      <w:pPr>
        <w:spacing w:line="360" w:lineRule="auto"/>
        <w:ind w:firstLine="470"/>
        <w:jc w:val="left"/>
        <w:rPr>
          <w:rFonts w:ascii="仿宋_GB2312" w:eastAsia="仿宋_GB2312" w:hAnsi="仿宋" w:cs="仿宋"/>
          <w:sz w:val="28"/>
          <w:szCs w:val="28"/>
        </w:rPr>
      </w:pPr>
      <w:r w:rsidRPr="00F63701">
        <w:rPr>
          <w:rFonts w:ascii="仿宋_GB2312" w:eastAsia="仿宋_GB2312" w:hAnsi="仿宋" w:cs="仿宋" w:hint="eastAsia"/>
          <w:sz w:val="28"/>
          <w:szCs w:val="28"/>
          <w:lang w:val="zh-CN"/>
        </w:rPr>
        <w:t>国际工程建设项目，几大石油工程建设公司积极开拓国际石油建设市场已见成效，预计全年国际工程量会超过国内市场。</w:t>
      </w:r>
    </w:p>
    <w:p w:rsidR="00363C01" w:rsidRPr="00F63701" w:rsidRDefault="00AB454A">
      <w:pPr>
        <w:spacing w:line="360" w:lineRule="auto"/>
        <w:ind w:firstLine="470"/>
        <w:jc w:val="left"/>
        <w:rPr>
          <w:rFonts w:ascii="仿宋_GB2312" w:eastAsia="仿宋_GB2312" w:hAnsi="仿宋" w:cs="仿宋"/>
          <w:sz w:val="28"/>
          <w:szCs w:val="28"/>
          <w:lang w:val="zh-CN"/>
        </w:rPr>
      </w:pPr>
      <w:r w:rsidRPr="00F63701">
        <w:rPr>
          <w:rFonts w:ascii="仿宋_GB2312" w:eastAsia="仿宋_GB2312" w:hAnsi="仿宋" w:cs="仿宋" w:hint="eastAsia"/>
          <w:sz w:val="28"/>
          <w:szCs w:val="28"/>
          <w:lang w:val="zh-CN"/>
        </w:rPr>
        <w:t>纵观石油工程建设行业形势，</w:t>
      </w:r>
      <w:r w:rsidRPr="00F63701">
        <w:rPr>
          <w:rFonts w:ascii="仿宋_GB2312" w:eastAsia="仿宋_GB2312" w:hAnsi="仿宋" w:cs="仿宋" w:hint="eastAsia"/>
          <w:sz w:val="28"/>
          <w:szCs w:val="28"/>
        </w:rPr>
        <w:t>2016</w:t>
      </w:r>
      <w:r w:rsidRPr="00F63701">
        <w:rPr>
          <w:rFonts w:ascii="仿宋_GB2312" w:eastAsia="仿宋_GB2312" w:hAnsi="仿宋" w:cs="仿宋" w:hint="eastAsia"/>
          <w:sz w:val="28"/>
          <w:szCs w:val="28"/>
          <w:lang w:val="zh-CN"/>
        </w:rPr>
        <w:t>年依然是“僧多粥少”，形势极为严峻。工程建设企业要加快产业结构调整，延伸主业、全力开拓国内外工程建设市场，以“积沙成塔、集腋成裘”的策略赢得市场、抢占市场，是企业生存与发展、队伍稳定的重要保证。</w:t>
      </w:r>
    </w:p>
    <w:p w:rsidR="00363C01" w:rsidRPr="00F63701" w:rsidRDefault="00363C01">
      <w:pPr>
        <w:rPr>
          <w:rFonts w:ascii="仿宋_GB2312" w:eastAsia="仿宋_GB2312" w:hAnsi="仿宋" w:cs="仿宋"/>
          <w:sz w:val="28"/>
          <w:szCs w:val="28"/>
        </w:rPr>
      </w:pPr>
    </w:p>
    <w:sectPr w:rsidR="00363C01" w:rsidRPr="00F63701" w:rsidSect="00363C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02D" w:rsidRDefault="0027102D" w:rsidP="00044181">
      <w:r>
        <w:separator/>
      </w:r>
    </w:p>
  </w:endnote>
  <w:endnote w:type="continuationSeparator" w:id="0">
    <w:p w:rsidR="0027102D" w:rsidRDefault="0027102D" w:rsidP="0004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02D" w:rsidRDefault="0027102D" w:rsidP="00044181">
      <w:r>
        <w:separator/>
      </w:r>
    </w:p>
  </w:footnote>
  <w:footnote w:type="continuationSeparator" w:id="0">
    <w:p w:rsidR="0027102D" w:rsidRDefault="0027102D" w:rsidP="00044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49422"/>
    <w:multiLevelType w:val="singleLevel"/>
    <w:tmpl w:val="56F49422"/>
    <w:lvl w:ilvl="0">
      <w:start w:val="3"/>
      <w:numFmt w:val="chineseCounting"/>
      <w:suff w:val="nothing"/>
      <w:lvlText w:val="%1、"/>
      <w:lvlJc w:val="left"/>
    </w:lvl>
  </w:abstractNum>
  <w:abstractNum w:abstractNumId="1">
    <w:nsid w:val="56F4DB6C"/>
    <w:multiLevelType w:val="singleLevel"/>
    <w:tmpl w:val="56F4DB6C"/>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4181"/>
    <w:rsid w:val="000458D2"/>
    <w:rsid w:val="000B51D8"/>
    <w:rsid w:val="000E5F2F"/>
    <w:rsid w:val="001654D0"/>
    <w:rsid w:val="00165CEF"/>
    <w:rsid w:val="00166219"/>
    <w:rsid w:val="00172A27"/>
    <w:rsid w:val="001E68A4"/>
    <w:rsid w:val="0027102D"/>
    <w:rsid w:val="002843A8"/>
    <w:rsid w:val="002A75B4"/>
    <w:rsid w:val="00363C01"/>
    <w:rsid w:val="003852D7"/>
    <w:rsid w:val="00483791"/>
    <w:rsid w:val="005273AE"/>
    <w:rsid w:val="00542785"/>
    <w:rsid w:val="005647D9"/>
    <w:rsid w:val="00577EBA"/>
    <w:rsid w:val="005C498A"/>
    <w:rsid w:val="006078D4"/>
    <w:rsid w:val="006853C4"/>
    <w:rsid w:val="006A14C5"/>
    <w:rsid w:val="006B2EF2"/>
    <w:rsid w:val="006C73CA"/>
    <w:rsid w:val="00790AF3"/>
    <w:rsid w:val="00793152"/>
    <w:rsid w:val="008674C9"/>
    <w:rsid w:val="00881BF3"/>
    <w:rsid w:val="00883D14"/>
    <w:rsid w:val="00887DE2"/>
    <w:rsid w:val="008C23F3"/>
    <w:rsid w:val="008D6DA1"/>
    <w:rsid w:val="0094317A"/>
    <w:rsid w:val="009718C8"/>
    <w:rsid w:val="009A0CC2"/>
    <w:rsid w:val="009C53D1"/>
    <w:rsid w:val="00A55DA7"/>
    <w:rsid w:val="00A71BEB"/>
    <w:rsid w:val="00A90A5B"/>
    <w:rsid w:val="00AB454A"/>
    <w:rsid w:val="00AC1890"/>
    <w:rsid w:val="00AE67AE"/>
    <w:rsid w:val="00AE752D"/>
    <w:rsid w:val="00B92A9E"/>
    <w:rsid w:val="00BD40DE"/>
    <w:rsid w:val="00C82A6D"/>
    <w:rsid w:val="00CD4E89"/>
    <w:rsid w:val="00CF5A6D"/>
    <w:rsid w:val="00D342FA"/>
    <w:rsid w:val="00DA4276"/>
    <w:rsid w:val="00DB13D8"/>
    <w:rsid w:val="00F14577"/>
    <w:rsid w:val="00F32A71"/>
    <w:rsid w:val="00F4097D"/>
    <w:rsid w:val="00F52451"/>
    <w:rsid w:val="00F63701"/>
    <w:rsid w:val="00F901B3"/>
    <w:rsid w:val="00FB020C"/>
    <w:rsid w:val="026302A3"/>
    <w:rsid w:val="069C3D7D"/>
    <w:rsid w:val="11282BF8"/>
    <w:rsid w:val="14C46CC5"/>
    <w:rsid w:val="18A93480"/>
    <w:rsid w:val="2EAB68ED"/>
    <w:rsid w:val="30BB1595"/>
    <w:rsid w:val="395F34D4"/>
    <w:rsid w:val="475B4DFF"/>
    <w:rsid w:val="510C2762"/>
    <w:rsid w:val="5DFE793D"/>
    <w:rsid w:val="6BA33B6C"/>
    <w:rsid w:val="7D9E73DC"/>
    <w:rsid w:val="7F47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3C01"/>
    <w:pPr>
      <w:widowControl w:val="0"/>
      <w:jc w:val="both"/>
    </w:pPr>
    <w:rPr>
      <w:kern w:val="2"/>
      <w:sz w:val="21"/>
      <w:szCs w:val="24"/>
    </w:rPr>
  </w:style>
  <w:style w:type="paragraph" w:styleId="1">
    <w:name w:val="heading 1"/>
    <w:basedOn w:val="a"/>
    <w:next w:val="a"/>
    <w:qFormat/>
    <w:rsid w:val="00363C0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unhideWhenUsed/>
    <w:qFormat/>
    <w:rsid w:val="00363C01"/>
    <w:pPr>
      <w:keepNext/>
      <w:keepLines/>
      <w:spacing w:line="408"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63C01"/>
    <w:pPr>
      <w:widowControl/>
      <w:spacing w:beforeAutospacing="1" w:afterAutospacing="1"/>
      <w:jc w:val="left"/>
    </w:pPr>
    <w:rPr>
      <w:rFonts w:ascii="宋体" w:hAnsi="宋体" w:cs="宋体"/>
      <w:color w:val="000000"/>
      <w:kern w:val="0"/>
      <w:sz w:val="24"/>
    </w:rPr>
  </w:style>
  <w:style w:type="character" w:styleId="a4">
    <w:name w:val="Strong"/>
    <w:basedOn w:val="a0"/>
    <w:qFormat/>
    <w:rsid w:val="00363C01"/>
    <w:rPr>
      <w:b/>
      <w:bCs/>
    </w:rPr>
  </w:style>
  <w:style w:type="table" w:styleId="a5">
    <w:name w:val="Table Grid"/>
    <w:basedOn w:val="a1"/>
    <w:rsid w:val="00363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rsid w:val="00363C01"/>
    <w:pPr>
      <w:ind w:firstLineChars="200" w:firstLine="420"/>
    </w:pPr>
  </w:style>
  <w:style w:type="paragraph" w:customStyle="1" w:styleId="11">
    <w:name w:val="列出段落1"/>
    <w:basedOn w:val="a"/>
    <w:qFormat/>
    <w:rsid w:val="00363C01"/>
    <w:pPr>
      <w:ind w:firstLineChars="200" w:firstLine="420"/>
    </w:pPr>
    <w:rPr>
      <w:rFonts w:ascii="Calibri" w:eastAsia="宋体" w:hAnsi="Calibri" w:cs="Times New Roman" w:hint="eastAsia"/>
    </w:rPr>
  </w:style>
  <w:style w:type="paragraph" w:styleId="a6">
    <w:name w:val="header"/>
    <w:basedOn w:val="a"/>
    <w:link w:val="Char"/>
    <w:rsid w:val="000441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44181"/>
    <w:rPr>
      <w:kern w:val="2"/>
      <w:sz w:val="18"/>
      <w:szCs w:val="18"/>
    </w:rPr>
  </w:style>
  <w:style w:type="paragraph" w:styleId="a7">
    <w:name w:val="footer"/>
    <w:basedOn w:val="a"/>
    <w:link w:val="Char0"/>
    <w:rsid w:val="00044181"/>
    <w:pPr>
      <w:tabs>
        <w:tab w:val="center" w:pos="4153"/>
        <w:tab w:val="right" w:pos="8306"/>
      </w:tabs>
      <w:snapToGrid w:val="0"/>
      <w:jc w:val="left"/>
    </w:pPr>
    <w:rPr>
      <w:sz w:val="18"/>
      <w:szCs w:val="18"/>
    </w:rPr>
  </w:style>
  <w:style w:type="character" w:customStyle="1" w:styleId="Char0">
    <w:name w:val="页脚 Char"/>
    <w:basedOn w:val="a0"/>
    <w:link w:val="a7"/>
    <w:rsid w:val="00044181"/>
    <w:rPr>
      <w:kern w:val="2"/>
      <w:sz w:val="18"/>
      <w:szCs w:val="18"/>
    </w:rPr>
  </w:style>
  <w:style w:type="paragraph" w:styleId="a8">
    <w:name w:val="Balloon Text"/>
    <w:basedOn w:val="a"/>
    <w:link w:val="Char1"/>
    <w:rsid w:val="006B2EF2"/>
    <w:rPr>
      <w:sz w:val="18"/>
      <w:szCs w:val="18"/>
    </w:rPr>
  </w:style>
  <w:style w:type="character" w:customStyle="1" w:styleId="Char1">
    <w:name w:val="批注框文本 Char"/>
    <w:basedOn w:val="a0"/>
    <w:link w:val="a8"/>
    <w:rsid w:val="006B2EF2"/>
    <w:rPr>
      <w:kern w:val="2"/>
      <w:sz w:val="18"/>
      <w:szCs w:val="18"/>
    </w:rPr>
  </w:style>
  <w:style w:type="paragraph" w:customStyle="1" w:styleId="Char2">
    <w:name w:val="Char"/>
    <w:basedOn w:val="a9"/>
    <w:next w:val="a9"/>
    <w:rsid w:val="005647D9"/>
    <w:pPr>
      <w:tabs>
        <w:tab w:val="left" w:pos="360"/>
        <w:tab w:val="left" w:pos="900"/>
      </w:tabs>
      <w:spacing w:before="120" w:line="360" w:lineRule="auto"/>
      <w:ind w:leftChars="-12" w:left="542" w:firstLineChars="200" w:firstLine="200"/>
      <w:jc w:val="left"/>
    </w:pPr>
    <w:rPr>
      <w:rFonts w:ascii="Arial" w:eastAsia="宋体" w:hAnsi="Arial" w:cs="Times New Roman"/>
      <w:b/>
      <w:szCs w:val="20"/>
    </w:rPr>
  </w:style>
  <w:style w:type="paragraph" w:styleId="aa">
    <w:name w:val="Body Text"/>
    <w:basedOn w:val="a"/>
    <w:link w:val="Char3"/>
    <w:rsid w:val="005647D9"/>
    <w:pPr>
      <w:spacing w:after="120"/>
    </w:pPr>
  </w:style>
  <w:style w:type="character" w:customStyle="1" w:styleId="Char3">
    <w:name w:val="正文文本 Char"/>
    <w:basedOn w:val="a0"/>
    <w:link w:val="aa"/>
    <w:rsid w:val="005647D9"/>
    <w:rPr>
      <w:kern w:val="2"/>
      <w:sz w:val="21"/>
      <w:szCs w:val="24"/>
    </w:rPr>
  </w:style>
  <w:style w:type="paragraph" w:styleId="a9">
    <w:name w:val="Body Text First Indent"/>
    <w:basedOn w:val="aa"/>
    <w:link w:val="Char4"/>
    <w:rsid w:val="005647D9"/>
    <w:pPr>
      <w:ind w:firstLineChars="100" w:firstLine="420"/>
    </w:pPr>
  </w:style>
  <w:style w:type="character" w:customStyle="1" w:styleId="Char4">
    <w:name w:val="正文首行缩进 Char"/>
    <w:basedOn w:val="Char3"/>
    <w:link w:val="a9"/>
    <w:rsid w:val="005647D9"/>
    <w:rPr>
      <w:kern w:val="2"/>
      <w:sz w:val="21"/>
      <w:szCs w:val="24"/>
    </w:rPr>
  </w:style>
  <w:style w:type="paragraph" w:styleId="ab">
    <w:name w:val="No Spacing"/>
    <w:qFormat/>
    <w:rsid w:val="005647D9"/>
    <w:pPr>
      <w:widowControl w:val="0"/>
      <w:jc w:val="both"/>
    </w:pPr>
    <w:rPr>
      <w:rFonts w:ascii="宋体" w:eastAsia="宋体" w:hAnsi="宋体" w:cs="Times New Roman"/>
      <w:color w:val="000000"/>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3546">
      <w:bodyDiv w:val="1"/>
      <w:marLeft w:val="0"/>
      <w:marRight w:val="0"/>
      <w:marTop w:val="0"/>
      <w:marBottom w:val="0"/>
      <w:divBdr>
        <w:top w:val="none" w:sz="0" w:space="0" w:color="auto"/>
        <w:left w:val="none" w:sz="0" w:space="0" w:color="auto"/>
        <w:bottom w:val="none" w:sz="0" w:space="0" w:color="auto"/>
        <w:right w:val="none" w:sz="0" w:space="0" w:color="auto"/>
      </w:divBdr>
    </w:div>
    <w:div w:id="1954676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chart" Target="charts/chart2.xm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1.emf"/><Relationship Id="rId22" Type="http://schemas.openxmlformats.org/officeDocument/2006/relationships/image" Target="media/image5.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angela\Documents\Tencent%20Files\351667634\FileRecv\2016&#24180;&#20225;&#19994;&#25277;&#26679;&#35843;&#26597;&#25968;&#25454;&#32479;&#35745;.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gela\Documents\Tencent%20Files\351667634\FileRecv\2016&#24180;&#20225;&#19994;&#25277;&#26679;&#35843;&#26597;&#25968;&#25454;&#32479;&#35745;.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ngela\Desktop\2016&#24180;&#20225;&#19994;&#25277;&#26679;&#35843;&#26597;&#25968;&#25454;&#32479;&#35745;--3.3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ngela\Desktop\2016&#24180;&#20225;&#19994;&#25277;&#26679;&#35843;&#26597;&#25968;&#25454;&#32479;&#35745;--3.3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ngela\Desktop\2016&#24180;&#20225;&#19994;&#25277;&#26679;&#35843;&#26597;&#25968;&#25454;&#32479;&#35745;--3.3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v>不同地区抽样企业数量</c:v>
          </c:tx>
          <c:dLbls>
            <c:dLbl>
              <c:idx val="2"/>
              <c:layout>
                <c:manualLayout>
                  <c:x val="-3.6468066491688537E-2"/>
                  <c:y val="-0.20106590842811314"/>
                </c:manualLayout>
              </c:layout>
              <c:tx>
                <c:rich>
                  <a:bodyPr/>
                  <a:lstStyle/>
                  <a:p>
                    <a:r>
                      <a:rPr lang="en-US" altLang="en-US"/>
                      <a:t>43.58%</a:t>
                    </a:r>
                  </a:p>
                </c:rich>
              </c:tx>
              <c:showLegendKey val="0"/>
              <c:showVal val="0"/>
              <c:showCatName val="0"/>
              <c:showSerName val="0"/>
              <c:showPercent val="1"/>
              <c:showBubbleSize val="0"/>
            </c:dLbl>
            <c:numFmt formatCode="0.00%" sourceLinked="0"/>
            <c:showLegendKey val="0"/>
            <c:showVal val="0"/>
            <c:showCatName val="0"/>
            <c:showSerName val="0"/>
            <c:showPercent val="1"/>
            <c:showBubbleSize val="0"/>
            <c:showLeaderLines val="1"/>
          </c:dLbls>
          <c:cat>
            <c:strRef>
              <c:f>Sheet2!$L$5:$L$11</c:f>
              <c:strCache>
                <c:ptCount val="7"/>
                <c:pt idx="0">
                  <c:v>东北地区</c:v>
                </c:pt>
                <c:pt idx="1">
                  <c:v>华北地区</c:v>
                </c:pt>
                <c:pt idx="2">
                  <c:v>华东地区</c:v>
                </c:pt>
                <c:pt idx="3">
                  <c:v>华南地区</c:v>
                </c:pt>
                <c:pt idx="4">
                  <c:v>华中地区</c:v>
                </c:pt>
                <c:pt idx="5">
                  <c:v>西北地区</c:v>
                </c:pt>
                <c:pt idx="6">
                  <c:v>西南地区</c:v>
                </c:pt>
              </c:strCache>
            </c:strRef>
          </c:cat>
          <c:val>
            <c:numRef>
              <c:f>Sheet2!$V$5:$V$11</c:f>
              <c:numCache>
                <c:formatCode>General</c:formatCode>
                <c:ptCount val="7"/>
                <c:pt idx="0">
                  <c:v>12</c:v>
                </c:pt>
                <c:pt idx="1">
                  <c:v>63</c:v>
                </c:pt>
                <c:pt idx="2">
                  <c:v>129</c:v>
                </c:pt>
                <c:pt idx="3">
                  <c:v>30</c:v>
                </c:pt>
                <c:pt idx="4">
                  <c:v>29</c:v>
                </c:pt>
                <c:pt idx="5">
                  <c:v>16</c:v>
                </c:pt>
                <c:pt idx="6">
                  <c:v>17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Sheet2!$W$4</c:f>
              <c:strCache>
                <c:ptCount val="1"/>
                <c:pt idx="0">
                  <c:v>产值增长率</c:v>
                </c:pt>
              </c:strCache>
            </c:strRef>
          </c:tx>
          <c:cat>
            <c:strRef>
              <c:f>Sheet2!$L$5:$L$11</c:f>
              <c:strCache>
                <c:ptCount val="7"/>
                <c:pt idx="0">
                  <c:v>东北地区</c:v>
                </c:pt>
                <c:pt idx="1">
                  <c:v>华北地区</c:v>
                </c:pt>
                <c:pt idx="2">
                  <c:v>华东地区</c:v>
                </c:pt>
                <c:pt idx="3">
                  <c:v>华南地区</c:v>
                </c:pt>
                <c:pt idx="4">
                  <c:v>华中地区</c:v>
                </c:pt>
                <c:pt idx="5">
                  <c:v>西北地区</c:v>
                </c:pt>
                <c:pt idx="6">
                  <c:v>西南地区</c:v>
                </c:pt>
              </c:strCache>
            </c:strRef>
          </c:cat>
          <c:val>
            <c:numRef>
              <c:f>Sheet2!$W$5:$W$11</c:f>
              <c:numCache>
                <c:formatCode>0.00%</c:formatCode>
                <c:ptCount val="7"/>
                <c:pt idx="0">
                  <c:v>-3.038417919048091E-2</c:v>
                </c:pt>
                <c:pt idx="1">
                  <c:v>5.2548558150467229E-3</c:v>
                </c:pt>
                <c:pt idx="2">
                  <c:v>2.1408473390945894E-2</c:v>
                </c:pt>
                <c:pt idx="3">
                  <c:v>8.0671576875884207E-2</c:v>
                </c:pt>
                <c:pt idx="4">
                  <c:v>0.12552551100662768</c:v>
                </c:pt>
                <c:pt idx="5">
                  <c:v>5.9475023043769441E-2</c:v>
                </c:pt>
                <c:pt idx="6">
                  <c:v>4.3458306884274954E-2</c:v>
                </c:pt>
              </c:numCache>
            </c:numRef>
          </c:val>
          <c:smooth val="0"/>
        </c:ser>
        <c:ser>
          <c:idx val="1"/>
          <c:order val="1"/>
          <c:tx>
            <c:strRef>
              <c:f>Sheet2!$X$4</c:f>
              <c:strCache>
                <c:ptCount val="1"/>
                <c:pt idx="0">
                  <c:v>利润增长率</c:v>
                </c:pt>
              </c:strCache>
            </c:strRef>
          </c:tx>
          <c:cat>
            <c:strRef>
              <c:f>Sheet2!$L$5:$L$11</c:f>
              <c:strCache>
                <c:ptCount val="7"/>
                <c:pt idx="0">
                  <c:v>东北地区</c:v>
                </c:pt>
                <c:pt idx="1">
                  <c:v>华北地区</c:v>
                </c:pt>
                <c:pt idx="2">
                  <c:v>华东地区</c:v>
                </c:pt>
                <c:pt idx="3">
                  <c:v>华南地区</c:v>
                </c:pt>
                <c:pt idx="4">
                  <c:v>华中地区</c:v>
                </c:pt>
                <c:pt idx="5">
                  <c:v>西北地区</c:v>
                </c:pt>
                <c:pt idx="6">
                  <c:v>西南地区</c:v>
                </c:pt>
              </c:strCache>
            </c:strRef>
          </c:cat>
          <c:val>
            <c:numRef>
              <c:f>Sheet2!$X$5:$X$11</c:f>
              <c:numCache>
                <c:formatCode>0.00%</c:formatCode>
                <c:ptCount val="7"/>
                <c:pt idx="0">
                  <c:v>-0.26435534948026651</c:v>
                </c:pt>
                <c:pt idx="1">
                  <c:v>3.1332075778807388E-3</c:v>
                </c:pt>
                <c:pt idx="2">
                  <c:v>-5.9910467469799803E-3</c:v>
                </c:pt>
                <c:pt idx="3">
                  <c:v>-9.9223011594382432E-2</c:v>
                </c:pt>
                <c:pt idx="4">
                  <c:v>0.24670716553444774</c:v>
                </c:pt>
                <c:pt idx="5">
                  <c:v>-5.7772081728167946E-2</c:v>
                </c:pt>
                <c:pt idx="6">
                  <c:v>-0.16874406979895618</c:v>
                </c:pt>
              </c:numCache>
            </c:numRef>
          </c:val>
          <c:smooth val="0"/>
        </c:ser>
        <c:dLbls>
          <c:showLegendKey val="0"/>
          <c:showVal val="0"/>
          <c:showCatName val="0"/>
          <c:showSerName val="0"/>
          <c:showPercent val="0"/>
          <c:showBubbleSize val="0"/>
        </c:dLbls>
        <c:marker val="1"/>
        <c:smooth val="0"/>
        <c:axId val="297305600"/>
        <c:axId val="297307136"/>
      </c:lineChart>
      <c:catAx>
        <c:axId val="297305600"/>
        <c:scaling>
          <c:orientation val="minMax"/>
        </c:scaling>
        <c:delete val="0"/>
        <c:axPos val="b"/>
        <c:majorTickMark val="out"/>
        <c:minorTickMark val="none"/>
        <c:tickLblPos val="nextTo"/>
        <c:crossAx val="297307136"/>
        <c:crosses val="autoZero"/>
        <c:auto val="1"/>
        <c:lblAlgn val="ctr"/>
        <c:lblOffset val="100"/>
        <c:noMultiLvlLbl val="0"/>
      </c:catAx>
      <c:valAx>
        <c:axId val="297307136"/>
        <c:scaling>
          <c:orientation val="minMax"/>
        </c:scaling>
        <c:delete val="0"/>
        <c:axPos val="l"/>
        <c:majorGridlines/>
        <c:numFmt formatCode="0.00%" sourceLinked="1"/>
        <c:majorTickMark val="out"/>
        <c:minorTickMark val="none"/>
        <c:tickLblPos val="nextTo"/>
        <c:crossAx val="29730560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不同资质抽样企业数量</a:t>
            </a:r>
          </a:p>
        </c:rich>
      </c:tx>
      <c:overlay val="0"/>
    </c:title>
    <c:autoTitleDeleted val="0"/>
    <c:plotArea>
      <c:layout/>
      <c:pieChart>
        <c:varyColors val="1"/>
        <c:ser>
          <c:idx val="0"/>
          <c:order val="0"/>
          <c:tx>
            <c:v>不同资质企业数量分布</c:v>
          </c:tx>
          <c:dLbls>
            <c:numFmt formatCode="0.00%" sourceLinked="0"/>
            <c:dLblPos val="bestFit"/>
            <c:showLegendKey val="0"/>
            <c:showVal val="0"/>
            <c:showCatName val="0"/>
            <c:showSerName val="0"/>
            <c:showPercent val="1"/>
            <c:showBubbleSize val="0"/>
            <c:showLeaderLines val="0"/>
          </c:dLbls>
          <c:cat>
            <c:strRef>
              <c:f>区域划分后数据!$L$13:$L$15</c:f>
              <c:strCache>
                <c:ptCount val="3"/>
                <c:pt idx="0">
                  <c:v>特级</c:v>
                </c:pt>
                <c:pt idx="1">
                  <c:v>一级</c:v>
                </c:pt>
                <c:pt idx="2">
                  <c:v>其他资质</c:v>
                </c:pt>
              </c:strCache>
            </c:strRef>
          </c:cat>
          <c:val>
            <c:numRef>
              <c:f>区域划分后数据!$T$13:$T$16</c:f>
              <c:numCache>
                <c:formatCode>General</c:formatCode>
                <c:ptCount val="4"/>
                <c:pt idx="0">
                  <c:v>45</c:v>
                </c:pt>
                <c:pt idx="1">
                  <c:v>155</c:v>
                </c:pt>
                <c:pt idx="2">
                  <c:v>95</c:v>
                </c:pt>
              </c:numCache>
            </c:numRef>
          </c:val>
        </c:ser>
        <c:dLbls>
          <c:showLegendKey val="0"/>
          <c:showVal val="0"/>
          <c:showCatName val="0"/>
          <c:showSerName val="0"/>
          <c:showPercent val="0"/>
          <c:showBubbleSize val="0"/>
          <c:showLeaderLines val="0"/>
        </c:dLbls>
        <c:firstSliceAng val="0"/>
      </c:pieChart>
    </c:plotArea>
    <c:legend>
      <c:legendPos val="r"/>
      <c:overlay val="0"/>
      <c:txPr>
        <a:bodyPr/>
        <a:lstStyle/>
        <a:p>
          <a:pPr rtl="0">
            <a:defRPr/>
          </a:pPr>
          <a:endParaRPr lang="zh-CN"/>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849518810148728E-2"/>
          <c:y val="3.75116652085156E-2"/>
          <c:w val="0.70841579177602798"/>
          <c:h val="0.71562153689122188"/>
        </c:manualLayout>
      </c:layout>
      <c:barChart>
        <c:barDir val="col"/>
        <c:grouping val="clustered"/>
        <c:varyColors val="0"/>
        <c:ser>
          <c:idx val="0"/>
          <c:order val="0"/>
          <c:tx>
            <c:v>特级资质</c:v>
          </c:tx>
          <c:invertIfNegative val="0"/>
          <c:cat>
            <c:strRef>
              <c:f>区域划分后数据!$L$5:$L$11</c:f>
              <c:strCache>
                <c:ptCount val="7"/>
                <c:pt idx="0">
                  <c:v>东北地区</c:v>
                </c:pt>
                <c:pt idx="1">
                  <c:v>华北地区</c:v>
                </c:pt>
                <c:pt idx="2">
                  <c:v>华东地区</c:v>
                </c:pt>
                <c:pt idx="3">
                  <c:v>华南地区</c:v>
                </c:pt>
                <c:pt idx="4">
                  <c:v>华中地区</c:v>
                </c:pt>
                <c:pt idx="5">
                  <c:v>西北地区</c:v>
                </c:pt>
                <c:pt idx="6">
                  <c:v>西南地区</c:v>
                </c:pt>
              </c:strCache>
            </c:strRef>
          </c:cat>
          <c:val>
            <c:numRef>
              <c:f>区域划分后数据!$X$5:$X$11</c:f>
              <c:numCache>
                <c:formatCode>General</c:formatCode>
                <c:ptCount val="7"/>
                <c:pt idx="0">
                  <c:v>1</c:v>
                </c:pt>
                <c:pt idx="1">
                  <c:v>8</c:v>
                </c:pt>
                <c:pt idx="2">
                  <c:v>27</c:v>
                </c:pt>
                <c:pt idx="3">
                  <c:v>2</c:v>
                </c:pt>
                <c:pt idx="4">
                  <c:v>6</c:v>
                </c:pt>
                <c:pt idx="5">
                  <c:v>0</c:v>
                </c:pt>
                <c:pt idx="6">
                  <c:v>1</c:v>
                </c:pt>
              </c:numCache>
            </c:numRef>
          </c:val>
        </c:ser>
        <c:ser>
          <c:idx val="1"/>
          <c:order val="1"/>
          <c:tx>
            <c:v>一级资质</c:v>
          </c:tx>
          <c:invertIfNegative val="0"/>
          <c:cat>
            <c:strRef>
              <c:f>区域划分后数据!$L$5:$L$11</c:f>
              <c:strCache>
                <c:ptCount val="7"/>
                <c:pt idx="0">
                  <c:v>东北地区</c:v>
                </c:pt>
                <c:pt idx="1">
                  <c:v>华北地区</c:v>
                </c:pt>
                <c:pt idx="2">
                  <c:v>华东地区</c:v>
                </c:pt>
                <c:pt idx="3">
                  <c:v>华南地区</c:v>
                </c:pt>
                <c:pt idx="4">
                  <c:v>华中地区</c:v>
                </c:pt>
                <c:pt idx="5">
                  <c:v>西北地区</c:v>
                </c:pt>
                <c:pt idx="6">
                  <c:v>西南地区</c:v>
                </c:pt>
              </c:strCache>
            </c:strRef>
          </c:cat>
          <c:val>
            <c:numRef>
              <c:f>区域划分后数据!$Z$5:$Z$11</c:f>
              <c:numCache>
                <c:formatCode>General</c:formatCode>
                <c:ptCount val="7"/>
                <c:pt idx="0">
                  <c:v>2</c:v>
                </c:pt>
                <c:pt idx="1">
                  <c:v>31</c:v>
                </c:pt>
                <c:pt idx="2">
                  <c:v>69</c:v>
                </c:pt>
                <c:pt idx="3">
                  <c:v>20</c:v>
                </c:pt>
                <c:pt idx="4">
                  <c:v>17</c:v>
                </c:pt>
                <c:pt idx="5">
                  <c:v>5</c:v>
                </c:pt>
                <c:pt idx="6">
                  <c:v>11</c:v>
                </c:pt>
              </c:numCache>
            </c:numRef>
          </c:val>
        </c:ser>
        <c:ser>
          <c:idx val="2"/>
          <c:order val="2"/>
          <c:tx>
            <c:v>其他资质</c:v>
          </c:tx>
          <c:invertIfNegative val="0"/>
          <c:cat>
            <c:strRef>
              <c:f>区域划分后数据!$L$5:$L$11</c:f>
              <c:strCache>
                <c:ptCount val="7"/>
                <c:pt idx="0">
                  <c:v>东北地区</c:v>
                </c:pt>
                <c:pt idx="1">
                  <c:v>华北地区</c:v>
                </c:pt>
                <c:pt idx="2">
                  <c:v>华东地区</c:v>
                </c:pt>
                <c:pt idx="3">
                  <c:v>华南地区</c:v>
                </c:pt>
                <c:pt idx="4">
                  <c:v>华中地区</c:v>
                </c:pt>
                <c:pt idx="5">
                  <c:v>西北地区</c:v>
                </c:pt>
                <c:pt idx="6">
                  <c:v>西南地区</c:v>
                </c:pt>
              </c:strCache>
            </c:strRef>
          </c:cat>
          <c:val>
            <c:numRef>
              <c:f>区域划分后数据!$AB$5:$AB$11</c:f>
              <c:numCache>
                <c:formatCode>General</c:formatCode>
                <c:ptCount val="7"/>
                <c:pt idx="0">
                  <c:v>9</c:v>
                </c:pt>
                <c:pt idx="1">
                  <c:v>24</c:v>
                </c:pt>
                <c:pt idx="2">
                  <c:v>33</c:v>
                </c:pt>
                <c:pt idx="3">
                  <c:v>7</c:v>
                </c:pt>
                <c:pt idx="4">
                  <c:v>6</c:v>
                </c:pt>
                <c:pt idx="5">
                  <c:v>11</c:v>
                </c:pt>
                <c:pt idx="6">
                  <c:v>5</c:v>
                </c:pt>
              </c:numCache>
            </c:numRef>
          </c:val>
        </c:ser>
        <c:dLbls>
          <c:showLegendKey val="0"/>
          <c:showVal val="0"/>
          <c:showCatName val="0"/>
          <c:showSerName val="0"/>
          <c:showPercent val="0"/>
          <c:showBubbleSize val="0"/>
        </c:dLbls>
        <c:gapWidth val="150"/>
        <c:axId val="297355904"/>
        <c:axId val="297369984"/>
      </c:barChart>
      <c:catAx>
        <c:axId val="297355904"/>
        <c:scaling>
          <c:orientation val="minMax"/>
        </c:scaling>
        <c:delete val="0"/>
        <c:axPos val="b"/>
        <c:majorTickMark val="out"/>
        <c:minorTickMark val="none"/>
        <c:tickLblPos val="nextTo"/>
        <c:crossAx val="297369984"/>
        <c:crosses val="autoZero"/>
        <c:auto val="1"/>
        <c:lblAlgn val="ctr"/>
        <c:lblOffset val="100"/>
        <c:noMultiLvlLbl val="0"/>
      </c:catAx>
      <c:valAx>
        <c:axId val="297369984"/>
        <c:scaling>
          <c:orientation val="minMax"/>
        </c:scaling>
        <c:delete val="0"/>
        <c:axPos val="l"/>
        <c:majorGridlines/>
        <c:numFmt formatCode="General" sourceLinked="1"/>
        <c:majorTickMark val="out"/>
        <c:minorTickMark val="none"/>
        <c:tickLblPos val="nextTo"/>
        <c:crossAx val="29735590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区域划分后数据!$U$4</c:f>
              <c:strCache>
                <c:ptCount val="1"/>
                <c:pt idx="0">
                  <c:v>产值增长率</c:v>
                </c:pt>
              </c:strCache>
            </c:strRef>
          </c:tx>
          <c:dLbls>
            <c:showLegendKey val="0"/>
            <c:showVal val="1"/>
            <c:showCatName val="0"/>
            <c:showSerName val="0"/>
            <c:showPercent val="0"/>
            <c:showBubbleSize val="0"/>
            <c:showLeaderLines val="0"/>
          </c:dLbls>
          <c:cat>
            <c:strRef>
              <c:f>区域划分后数据!$L$13:$L$16</c:f>
              <c:strCache>
                <c:ptCount val="3"/>
                <c:pt idx="0">
                  <c:v>特级</c:v>
                </c:pt>
                <c:pt idx="1">
                  <c:v>一级</c:v>
                </c:pt>
                <c:pt idx="2">
                  <c:v>其他资质</c:v>
                </c:pt>
              </c:strCache>
            </c:strRef>
          </c:cat>
          <c:val>
            <c:numRef>
              <c:f>区域划分后数据!$U$13:$U$16</c:f>
              <c:numCache>
                <c:formatCode>0.00%</c:formatCode>
                <c:ptCount val="4"/>
                <c:pt idx="0">
                  <c:v>4.7686918968351246E-3</c:v>
                </c:pt>
                <c:pt idx="1">
                  <c:v>3.2510385463170414E-2</c:v>
                </c:pt>
                <c:pt idx="2">
                  <c:v>6.5861113011702332E-2</c:v>
                </c:pt>
              </c:numCache>
            </c:numRef>
          </c:val>
          <c:smooth val="0"/>
        </c:ser>
        <c:ser>
          <c:idx val="1"/>
          <c:order val="1"/>
          <c:tx>
            <c:strRef>
              <c:f>区域划分后数据!$V$4</c:f>
              <c:strCache>
                <c:ptCount val="1"/>
                <c:pt idx="0">
                  <c:v>利润增长率</c:v>
                </c:pt>
              </c:strCache>
            </c:strRef>
          </c:tx>
          <c:dLbls>
            <c:showLegendKey val="0"/>
            <c:showVal val="1"/>
            <c:showCatName val="0"/>
            <c:showSerName val="0"/>
            <c:showPercent val="0"/>
            <c:showBubbleSize val="0"/>
            <c:showLeaderLines val="0"/>
          </c:dLbls>
          <c:cat>
            <c:strRef>
              <c:f>区域划分后数据!$L$13:$L$16</c:f>
              <c:strCache>
                <c:ptCount val="3"/>
                <c:pt idx="0">
                  <c:v>特级</c:v>
                </c:pt>
                <c:pt idx="1">
                  <c:v>一级</c:v>
                </c:pt>
                <c:pt idx="2">
                  <c:v>其他资质</c:v>
                </c:pt>
              </c:strCache>
            </c:strRef>
          </c:cat>
          <c:val>
            <c:numRef>
              <c:f>区域划分后数据!$V$13:$V$16</c:f>
              <c:numCache>
                <c:formatCode>0.00%</c:formatCode>
                <c:ptCount val="4"/>
                <c:pt idx="0">
                  <c:v>3.9564060017707778E-2</c:v>
                </c:pt>
                <c:pt idx="1">
                  <c:v>-4.5787224993965835E-2</c:v>
                </c:pt>
                <c:pt idx="2">
                  <c:v>-3.0310643936381266E-2</c:v>
                </c:pt>
              </c:numCache>
            </c:numRef>
          </c:val>
          <c:smooth val="0"/>
        </c:ser>
        <c:dLbls>
          <c:showLegendKey val="0"/>
          <c:showVal val="0"/>
          <c:showCatName val="0"/>
          <c:showSerName val="0"/>
          <c:showPercent val="0"/>
          <c:showBubbleSize val="0"/>
        </c:dLbls>
        <c:marker val="1"/>
        <c:smooth val="0"/>
        <c:axId val="297391616"/>
        <c:axId val="297393152"/>
      </c:lineChart>
      <c:catAx>
        <c:axId val="297391616"/>
        <c:scaling>
          <c:orientation val="minMax"/>
        </c:scaling>
        <c:delete val="0"/>
        <c:axPos val="b"/>
        <c:majorTickMark val="out"/>
        <c:minorTickMark val="none"/>
        <c:tickLblPos val="nextTo"/>
        <c:crossAx val="297393152"/>
        <c:crosses val="autoZero"/>
        <c:auto val="1"/>
        <c:lblAlgn val="ctr"/>
        <c:lblOffset val="100"/>
        <c:noMultiLvlLbl val="0"/>
      </c:catAx>
      <c:valAx>
        <c:axId val="297393152"/>
        <c:scaling>
          <c:orientation val="minMax"/>
        </c:scaling>
        <c:delete val="0"/>
        <c:axPos val="l"/>
        <c:majorGridlines/>
        <c:numFmt formatCode="0.00%" sourceLinked="1"/>
        <c:majorTickMark val="out"/>
        <c:minorTickMark val="none"/>
        <c:tickLblPos val="nextTo"/>
        <c:crossAx val="2973916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21</Pages>
  <Words>1743</Words>
  <Characters>9939</Characters>
  <Application>Microsoft Office Word</Application>
  <DocSecurity>0</DocSecurity>
  <Lines>82</Lines>
  <Paragraphs>23</Paragraphs>
  <ScaleCrop>false</ScaleCrop>
  <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angela</cp:lastModifiedBy>
  <cp:revision>35</cp:revision>
  <dcterms:created xsi:type="dcterms:W3CDTF">2016-03-21T06:42:00Z</dcterms:created>
  <dcterms:modified xsi:type="dcterms:W3CDTF">2016-04-25T00:35:00Z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